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C72C3" w14:textId="546D9367" w:rsidR="00B95803" w:rsidRDefault="004D6A1D" w:rsidP="004D6A1D">
      <w:pPr>
        <w:pStyle w:val="Heading1"/>
        <w:spacing w:before="0" w:after="160"/>
      </w:pPr>
      <w:r>
        <w:t>12/8/25 Cody’s assigned sections to be added to draft committee report and edited further.</w:t>
      </w:r>
    </w:p>
    <w:p w14:paraId="506C9C70" w14:textId="77777777" w:rsidR="004D6A1D" w:rsidRDefault="004D6A1D">
      <w:pPr>
        <w:pStyle w:val="Heading1"/>
        <w:spacing w:before="0" w:after="160"/>
        <w:jc w:val="center"/>
      </w:pPr>
    </w:p>
    <w:p w14:paraId="784148EF" w14:textId="43863783" w:rsidR="00A967A7" w:rsidRDefault="004D6A1D">
      <w:pPr>
        <w:pStyle w:val="Heading1"/>
        <w:spacing w:before="0" w:after="160"/>
        <w:jc w:val="center"/>
      </w:pPr>
      <w:r>
        <w:t>INTRODUCTION AND PROCESS</w:t>
      </w:r>
    </w:p>
    <w:p w14:paraId="784148F0" w14:textId="77777777" w:rsidR="00A967A7" w:rsidRDefault="004D6A1D">
      <w:pPr>
        <w:pStyle w:val="Heading1"/>
      </w:pPr>
      <w:r>
        <w:t>1. Significance</w:t>
      </w:r>
    </w:p>
    <w:p w14:paraId="784148F1" w14:textId="77777777" w:rsidR="00A967A7" w:rsidRDefault="004D6A1D">
      <w:pPr>
        <w:pStyle w:val="BodyText"/>
      </w:pPr>
      <w:r>
        <w:t>The City of San Diego's franchise agreements with San Diego Gas &amp; Electric (SDG&amp;E) represent critical public-private partnerships affecting over 1.4 million residents. These agreements grant SDG&amp;E the right to use public rights-of-way to deliver electricity and gas while establishing financial obligations that generate millions in annual City revenue, accountability mechanisms for utility operations, and commitments to advance climate action goals and equitable distribution of environmental benefits.</w:t>
      </w:r>
    </w:p>
    <w:p w14:paraId="784148F2" w14:textId="5C30EAB6" w:rsidR="00A967A7" w:rsidRDefault="004D6A1D">
      <w:pPr>
        <w:pStyle w:val="BodyText"/>
      </w:pPr>
      <w:r>
        <w:t xml:space="preserve">For ratepayers, these biennial compliance reviews </w:t>
      </w:r>
      <w:r w:rsidR="0052143C">
        <w:t xml:space="preserve">should </w:t>
      </w:r>
      <w:r>
        <w:t xml:space="preserve">provide essential accountability, ensuring SDG&amp;E fulfills contractual obligations regarding franchise fee payments, utility undergrounding projects, energy efficiency programs, and </w:t>
      </w:r>
      <w:r w:rsidR="00727675">
        <w:t xml:space="preserve">administrative </w:t>
      </w:r>
      <w:r>
        <w:t xml:space="preserve">service quality standards. The review process examines whether the utility meets commitments </w:t>
      </w:r>
      <w:r w:rsidR="00727675">
        <w:t xml:space="preserve">in these areas </w:t>
      </w:r>
      <w:r>
        <w:t xml:space="preserve">while creating a public forum for community </w:t>
      </w:r>
      <w:r w:rsidR="006C7263">
        <w:t>feedback to City Council</w:t>
      </w:r>
      <w:r>
        <w:t>.</w:t>
      </w:r>
    </w:p>
    <w:p w14:paraId="784148F3" w14:textId="1ABD9660" w:rsidR="00A967A7" w:rsidRDefault="004D6A1D">
      <w:pPr>
        <w:pStyle w:val="BodyText"/>
      </w:pPr>
      <w:r>
        <w:t xml:space="preserve">The agreements govern substantial financial commitments, climate action through the Energy Cooperation Agreement (ECA), infrastructure improvements including utility undergrounding, and preserve the City's future options including the right to void automatic renewal </w:t>
      </w:r>
      <w:r w:rsidR="009E503A">
        <w:t xml:space="preserve">of the Franchise Agreements </w:t>
      </w:r>
      <w:r>
        <w:t xml:space="preserve">or pursue municipalization. </w:t>
      </w:r>
      <w:r w:rsidR="00564947">
        <w:t>The committee forum should be a venue to</w:t>
      </w:r>
      <w:r>
        <w:t xml:space="preserve"> ensure transparency and </w:t>
      </w:r>
      <w:r w:rsidR="00564947">
        <w:t xml:space="preserve">help </w:t>
      </w:r>
      <w:r>
        <w:t>shape long-term energy policy decisions.</w:t>
      </w:r>
    </w:p>
    <w:p w14:paraId="784148F4" w14:textId="77777777" w:rsidR="00A967A7" w:rsidRDefault="004D6A1D">
      <w:pPr>
        <w:pStyle w:val="Heading1"/>
        <w:spacing w:before="140"/>
      </w:pPr>
      <w:r>
        <w:t>2. Overview of the Franchise Agreements and Review Process</w:t>
      </w:r>
    </w:p>
    <w:p w14:paraId="784148F5" w14:textId="0BA1A948" w:rsidR="00A967A7" w:rsidRDefault="004D6A1D">
      <w:pPr>
        <w:pStyle w:val="BodyText"/>
      </w:pPr>
      <w:r>
        <w:t>The franchise agreements encompass four interconnected components: the Electric Franchise Agreement</w:t>
      </w:r>
      <w:r w:rsidR="001538DD">
        <w:t xml:space="preserve"> and</w:t>
      </w:r>
      <w:r>
        <w:t xml:space="preserve"> the Gas Franchise Agreement</w:t>
      </w:r>
      <w:r w:rsidR="001538DD">
        <w:t xml:space="preserve"> (collectively, the Franchise Agreements</w:t>
      </w:r>
      <w:r w:rsidR="000B4B4C">
        <w:t xml:space="preserve"> or agreements</w:t>
      </w:r>
      <w:r w:rsidR="001538DD">
        <w:t>);</w:t>
      </w:r>
      <w:r>
        <w:t xml:space="preserve"> the Administrative Memorandum of Understanding (MOU), the Utility Undergrounding MOU</w:t>
      </w:r>
      <w:r w:rsidR="001538DD">
        <w:t xml:space="preserve">; </w:t>
      </w:r>
      <w:proofErr w:type="gramStart"/>
      <w:r>
        <w:t>and</w:t>
      </w:r>
      <w:r w:rsidR="001538DD">
        <w:t>,</w:t>
      </w:r>
      <w:proofErr w:type="gramEnd"/>
      <w:r>
        <w:t xml:space="preserve"> the Energy Cooperation Agreement (ECA). Approved by City Council on </w:t>
      </w:r>
      <w:commentRangeStart w:id="0"/>
      <w:r>
        <w:t xml:space="preserve">June 8, </w:t>
      </w:r>
      <w:proofErr w:type="gramStart"/>
      <w:r>
        <w:t>2021</w:t>
      </w:r>
      <w:proofErr w:type="gramEnd"/>
      <w:r>
        <w:t xml:space="preserve"> with an effective date of July 8, 2021, the agreements have primary 10-year terms extending through July 2031, with provisions for automatic renewal for an additional 10 years through July 2041.</w:t>
      </w:r>
      <w:commentRangeEnd w:id="0"/>
      <w:r w:rsidR="000B4B4C">
        <w:rPr>
          <w:rStyle w:val="CommentReference"/>
        </w:rPr>
        <w:commentReference w:id="0"/>
      </w:r>
    </w:p>
    <w:p w14:paraId="784148F6" w14:textId="77777777" w:rsidR="00A967A7" w:rsidRDefault="004D6A1D">
      <w:pPr>
        <w:pStyle w:val="BodyText"/>
      </w:pPr>
      <w:r>
        <w:t>The City reserves the right to void automatic renewal no sooner than the ninth year (July 2030) and maintains authority to terminate either franchise to pursue municipalization. This structure contrasts significantly with previous 50-year agreements that concluded June 1, 2021, reflecting a policy shift toward greater City flexibility and more frequent reassessment opportunities.</w:t>
      </w:r>
    </w:p>
    <w:p w14:paraId="784148F7" w14:textId="491282FA" w:rsidR="00A967A7" w:rsidRDefault="004D6A1D">
      <w:pPr>
        <w:pStyle w:val="BodyText"/>
      </w:pPr>
      <w:r>
        <w:t>City Council approved the agreements with a 6-3 vote on May 25, 2021.</w:t>
      </w:r>
    </w:p>
    <w:p w14:paraId="784148F8" w14:textId="77777777" w:rsidR="00A967A7" w:rsidRDefault="004D6A1D">
      <w:pPr>
        <w:pStyle w:val="Heading1"/>
        <w:spacing w:before="140"/>
      </w:pPr>
      <w:r>
        <w:t>3. Charge of the Franchise Compliance Review Committee (FCRC)</w:t>
      </w:r>
    </w:p>
    <w:p w14:paraId="784148F9" w14:textId="77777777" w:rsidR="00A967A7" w:rsidRDefault="004D6A1D">
      <w:pPr>
        <w:pStyle w:val="BodyText"/>
      </w:pPr>
      <w:r>
        <w:t>Section 6 of the franchise agreements establishes the FCRC as a five-member committee (three City Council appointees, two Mayoral appointees) created by City Council resolution every two years. The Committee must conduct all business through Brown Act-compliant public meetings and establish mechanisms for public communication regarding the franchise agreements.</w:t>
      </w:r>
    </w:p>
    <w:p w14:paraId="784148FA" w14:textId="77777777" w:rsidR="00A967A7" w:rsidRDefault="004D6A1D">
      <w:pPr>
        <w:pStyle w:val="BodyText"/>
      </w:pPr>
      <w:r>
        <w:t>The FCRC's core mandate is reviewing the independent auditor's report (delivered 60 days before the FCRC report deadline) and providing City Council with a comprehensive written report within 180 days of each two-year compliance period. This report must include the auditor's findings, the Committee's analysis and recommendations, and critically, a recommendation on whether to allow automatic renewal of the secondary 10-year term based on compliance with the franchise and Energy Cooperation Agreements.</w:t>
      </w:r>
    </w:p>
    <w:p w14:paraId="784148FB" w14:textId="24B6B734" w:rsidR="00A967A7" w:rsidRDefault="004D6A1D">
      <w:pPr>
        <w:pStyle w:val="BodyText"/>
      </w:pPr>
      <w:r>
        <w:t xml:space="preserve">Beyond these explicit mandates, the Committee has embraced additional responsibilities including proactive information gathering through presentations from SDG&amp;E, City staff, </w:t>
      </w:r>
      <w:r w:rsidR="003E66B0">
        <w:lastRenderedPageBreak/>
        <w:t>other organizations, and the public</w:t>
      </w:r>
      <w:r>
        <w:t>; substantive inquiry beyond accepting audit findings at face value; developing expertise on franchise terms and utility operations; making information accessible to the public; and providing forward-looking recommendations for continuous improvement of both SDG&amp;E's performance and the oversight process itself.</w:t>
      </w:r>
    </w:p>
    <w:p w14:paraId="784148FC" w14:textId="72481EBF" w:rsidR="00A967A7" w:rsidRDefault="004D6A1D">
      <w:pPr>
        <w:pStyle w:val="BodyText"/>
      </w:pPr>
      <w:r>
        <w:t>The Committee interprets its role to assess not only technical compliance but also the effectiveness of franchise provisions in achieving intended policy objectives.</w:t>
      </w:r>
    </w:p>
    <w:p w14:paraId="784148FD" w14:textId="77777777" w:rsidR="00A967A7" w:rsidRDefault="004D6A1D">
      <w:pPr>
        <w:pStyle w:val="Heading2"/>
      </w:pPr>
      <w:r>
        <w:t>Committee Composition</w:t>
      </w:r>
    </w:p>
    <w:p w14:paraId="784148FE" w14:textId="77777777" w:rsidR="00A967A7" w:rsidRDefault="004D6A1D">
      <w:pPr>
        <w:pStyle w:val="BodyText"/>
      </w:pPr>
      <w:r>
        <w:t>The FCRC for this review period consists of:</w:t>
      </w:r>
    </w:p>
    <w:p w14:paraId="784148FF" w14:textId="77777777" w:rsidR="00A967A7" w:rsidRDefault="004D6A1D">
      <w:pPr>
        <w:pStyle w:val="BodyText"/>
        <w:spacing w:before="60" w:after="40"/>
      </w:pPr>
      <w:r>
        <w:rPr>
          <w:b/>
          <w:bCs/>
        </w:rPr>
        <w:t>Mayor Appointees:</w:t>
      </w:r>
    </w:p>
    <w:p w14:paraId="78414900" w14:textId="3E3055C8" w:rsidR="00A967A7" w:rsidRPr="00BC3EFE" w:rsidRDefault="004D6A1D">
      <w:pPr>
        <w:pStyle w:val="ListParagraph"/>
        <w:numPr>
          <w:ilvl w:val="0"/>
          <w:numId w:val="2"/>
        </w:numPr>
        <w:spacing w:after="40"/>
        <w:rPr>
          <w:highlight w:val="yellow"/>
        </w:rPr>
      </w:pPr>
      <w:r w:rsidRPr="00BC3EFE">
        <w:rPr>
          <w:highlight w:val="yellow"/>
        </w:rPr>
        <w:t>[Name]</w:t>
      </w:r>
    </w:p>
    <w:p w14:paraId="78414901" w14:textId="24C84654" w:rsidR="00A967A7" w:rsidRPr="00BC3EFE" w:rsidRDefault="004D6A1D">
      <w:pPr>
        <w:pStyle w:val="ListParagraph"/>
        <w:numPr>
          <w:ilvl w:val="0"/>
          <w:numId w:val="2"/>
        </w:numPr>
        <w:spacing w:after="60"/>
        <w:rPr>
          <w:highlight w:val="yellow"/>
        </w:rPr>
      </w:pPr>
      <w:r w:rsidRPr="00BC3EFE">
        <w:rPr>
          <w:highlight w:val="yellow"/>
        </w:rPr>
        <w:t>[Name]</w:t>
      </w:r>
    </w:p>
    <w:p w14:paraId="78414902" w14:textId="77777777" w:rsidR="00A967A7" w:rsidRDefault="004D6A1D">
      <w:pPr>
        <w:pStyle w:val="BodyText"/>
        <w:spacing w:before="40" w:after="40"/>
      </w:pPr>
      <w:r>
        <w:rPr>
          <w:b/>
          <w:bCs/>
        </w:rPr>
        <w:t>City Council Appointees:</w:t>
      </w:r>
    </w:p>
    <w:p w14:paraId="78414903" w14:textId="04ECB3E8" w:rsidR="00A967A7" w:rsidRDefault="00B54B97">
      <w:pPr>
        <w:pStyle w:val="ListParagraph"/>
        <w:numPr>
          <w:ilvl w:val="0"/>
          <w:numId w:val="2"/>
        </w:numPr>
        <w:spacing w:after="40"/>
      </w:pPr>
      <w:r>
        <w:t>Cody Hooven</w:t>
      </w:r>
      <w:r w:rsidR="004D6A1D">
        <w:t>, Chair</w:t>
      </w:r>
    </w:p>
    <w:p w14:paraId="78414904" w14:textId="7CC481C8" w:rsidR="00A967A7" w:rsidRDefault="00B54B97">
      <w:pPr>
        <w:pStyle w:val="ListParagraph"/>
        <w:numPr>
          <w:ilvl w:val="0"/>
          <w:numId w:val="2"/>
        </w:numPr>
        <w:spacing w:after="40"/>
      </w:pPr>
      <w:r>
        <w:t>Satomi Rash-Ziegler</w:t>
      </w:r>
      <w:r w:rsidR="004D6A1D">
        <w:t>, Vice Chair</w:t>
      </w:r>
    </w:p>
    <w:p w14:paraId="78414905" w14:textId="0A7FEC4D" w:rsidR="00A967A7" w:rsidRPr="00BC3EFE" w:rsidRDefault="004D6A1D">
      <w:pPr>
        <w:pStyle w:val="ListParagraph"/>
        <w:numPr>
          <w:ilvl w:val="0"/>
          <w:numId w:val="2"/>
        </w:numPr>
        <w:spacing w:after="60"/>
        <w:rPr>
          <w:highlight w:val="yellow"/>
        </w:rPr>
      </w:pPr>
      <w:r w:rsidRPr="00BC3EFE">
        <w:rPr>
          <w:highlight w:val="yellow"/>
        </w:rPr>
        <w:t>[Name]</w:t>
      </w:r>
    </w:p>
    <w:p w14:paraId="78414906" w14:textId="37AAF63A" w:rsidR="00A967A7" w:rsidRDefault="004D6A1D">
      <w:pPr>
        <w:pStyle w:val="BodyText"/>
      </w:pPr>
      <w:r>
        <w:t xml:space="preserve">The Committee has been supported by staff from the City's </w:t>
      </w:r>
      <w:r w:rsidR="00B54B97">
        <w:t>Energy Division of the</w:t>
      </w:r>
      <w:r>
        <w:t xml:space="preserve"> Department</w:t>
      </w:r>
      <w:r w:rsidR="00B54B97">
        <w:t xml:space="preserve"> of General Services</w:t>
      </w:r>
      <w:r>
        <w:t>, who provide administrative assistance, prepare materials, coordinate with the auditor and SDG&amp;E, maintain public records, and facilitate Brown Act compliance.</w:t>
      </w:r>
    </w:p>
    <w:p w14:paraId="0AE483C0" w14:textId="77777777" w:rsidR="00595F94" w:rsidRDefault="00595F94" w:rsidP="00836E8F">
      <w:pPr>
        <w:pStyle w:val="BodyText"/>
        <w:ind w:left="0"/>
      </w:pPr>
    </w:p>
    <w:p w14:paraId="20745A0F" w14:textId="05BA9590" w:rsidR="00836E8F" w:rsidRDefault="00836E8F" w:rsidP="00836E8F">
      <w:pPr>
        <w:pStyle w:val="Heading2"/>
      </w:pPr>
      <w:r>
        <w:t>Committee Recommendations to City Council</w:t>
      </w:r>
    </w:p>
    <w:p w14:paraId="75B75A56" w14:textId="77777777" w:rsidR="00BF1F16" w:rsidRPr="00BF1F16" w:rsidRDefault="00BF1F16" w:rsidP="00836E8F">
      <w:pPr>
        <w:pStyle w:val="Heading2"/>
        <w:rPr>
          <w:b w:val="0"/>
          <w:bCs w:val="0"/>
        </w:rPr>
      </w:pPr>
    </w:p>
    <w:p w14:paraId="7E6024C3" w14:textId="77777777" w:rsidR="00C41D91" w:rsidRDefault="00C41D91" w:rsidP="00C41D91">
      <w:pPr>
        <w:pStyle w:val="ListParagraph"/>
        <w:numPr>
          <w:ilvl w:val="0"/>
          <w:numId w:val="3"/>
        </w:numPr>
        <w:spacing w:before="80"/>
      </w:pPr>
      <w:r>
        <w:rPr>
          <w:b/>
          <w:bCs/>
        </w:rPr>
        <w:t xml:space="preserve">Agreement-Specific </w:t>
      </w:r>
      <w:commentRangeStart w:id="1"/>
      <w:r>
        <w:rPr>
          <w:b/>
          <w:bCs/>
        </w:rPr>
        <w:t>Recommendations</w:t>
      </w:r>
      <w:commentRangeEnd w:id="1"/>
      <w:r w:rsidR="00BC3EFE">
        <w:rPr>
          <w:rStyle w:val="CommentReference"/>
        </w:rPr>
        <w:commentReference w:id="1"/>
      </w:r>
    </w:p>
    <w:p w14:paraId="496F59DB" w14:textId="77777777" w:rsidR="00C41D91" w:rsidRDefault="00C41D91" w:rsidP="00C41D91">
      <w:pPr>
        <w:pStyle w:val="Heading2"/>
      </w:pPr>
      <w:r>
        <w:t>Administrative MOU</w:t>
      </w:r>
    </w:p>
    <w:p w14:paraId="4FD6FAB4" w14:textId="778077B5" w:rsidR="00C41D91" w:rsidRDefault="00C41D91" w:rsidP="00C41D91">
      <w:pPr>
        <w:pStyle w:val="ListParagraph"/>
        <w:numPr>
          <w:ilvl w:val="0"/>
          <w:numId w:val="4"/>
        </w:numPr>
        <w:spacing w:after="60"/>
      </w:pPr>
      <w:r>
        <w:t>Address pre-construction meeting compliance and strengthen internal controls for design phase delays</w:t>
      </w:r>
    </w:p>
    <w:p w14:paraId="055CA48F" w14:textId="6087ACA6" w:rsidR="00C41D91" w:rsidRDefault="00C41D91" w:rsidP="00C41D91">
      <w:pPr>
        <w:pStyle w:val="ListParagraph"/>
        <w:numPr>
          <w:ilvl w:val="0"/>
          <w:numId w:val="4"/>
        </w:numPr>
        <w:spacing w:after="60"/>
      </w:pPr>
      <w:r>
        <w:t>Align renegotiation timeline with FCRC review cycle; clarify duty to defend provisions</w:t>
      </w:r>
    </w:p>
    <w:p w14:paraId="4E21BB45" w14:textId="77777777" w:rsidR="00C41D91" w:rsidRDefault="00C41D91" w:rsidP="00C41D91">
      <w:pPr>
        <w:pStyle w:val="Heading2"/>
      </w:pPr>
      <w:r>
        <w:t>Utility Undergrounding MOU</w:t>
      </w:r>
    </w:p>
    <w:p w14:paraId="7F1A1E2E" w14:textId="5F2EDE33" w:rsidR="00C41D91" w:rsidRDefault="00C41D91" w:rsidP="00C41D91">
      <w:pPr>
        <w:pStyle w:val="ListParagraph"/>
        <w:numPr>
          <w:ilvl w:val="0"/>
          <w:numId w:val="4"/>
        </w:numPr>
        <w:spacing w:after="60"/>
      </w:pPr>
      <w:r>
        <w:t>Require detailed cost breakdowns including overhead transparency; establish regular MOU review mechanism</w:t>
      </w:r>
    </w:p>
    <w:p w14:paraId="2804BBEE" w14:textId="7634C1D3" w:rsidR="00C41D91" w:rsidRDefault="00C41D91" w:rsidP="00C41D91">
      <w:pPr>
        <w:pStyle w:val="ListParagraph"/>
        <w:numPr>
          <w:ilvl w:val="0"/>
          <w:numId w:val="4"/>
        </w:numPr>
        <w:spacing w:after="60"/>
      </w:pPr>
      <w:r>
        <w:t>Advocate for rate of return adjustments given high costs ($5-6M/mile); establish enforcement mechanisms</w:t>
      </w:r>
    </w:p>
    <w:p w14:paraId="58AA5E9E" w14:textId="77777777" w:rsidR="00C41D91" w:rsidRDefault="00C41D91" w:rsidP="00C41D91">
      <w:pPr>
        <w:pStyle w:val="Heading2"/>
      </w:pPr>
      <w:r>
        <w:t>Energy Cooperation Agreement</w:t>
      </w:r>
    </w:p>
    <w:p w14:paraId="1AFCC657" w14:textId="57475A57" w:rsidR="00C41D91" w:rsidRDefault="00C41D91" w:rsidP="00C41D91">
      <w:pPr>
        <w:pStyle w:val="ListParagraph"/>
        <w:numPr>
          <w:ilvl w:val="0"/>
          <w:numId w:val="4"/>
        </w:numPr>
        <w:spacing w:after="60"/>
      </w:pPr>
      <w:r>
        <w:t>Establish realistic timelines for implementation plans; enhance measurability with concrete targets aligned to CAP</w:t>
      </w:r>
    </w:p>
    <w:p w14:paraId="6E51C381" w14:textId="28D10401" w:rsidR="00C41D91" w:rsidRDefault="00C41D91" w:rsidP="00C41D91">
      <w:pPr>
        <w:pStyle w:val="ListParagraph"/>
        <w:numPr>
          <w:ilvl w:val="0"/>
          <w:numId w:val="4"/>
        </w:numPr>
        <w:spacing w:after="60"/>
      </w:pPr>
      <w:r>
        <w:t>Maintain energy efficiency program commitments; improve tracking of ECA-specific versus general activities</w:t>
      </w:r>
    </w:p>
    <w:p w14:paraId="51C62C24" w14:textId="77777777" w:rsidR="00C41D91" w:rsidRDefault="00C41D91" w:rsidP="00C41D91">
      <w:pPr>
        <w:pStyle w:val="ListParagraph"/>
        <w:numPr>
          <w:ilvl w:val="0"/>
          <w:numId w:val="3"/>
        </w:numPr>
        <w:spacing w:before="120"/>
      </w:pPr>
      <w:r>
        <w:rPr>
          <w:b/>
          <w:bCs/>
        </w:rPr>
        <w:t>Franchise Review Committee Process Improvements</w:t>
      </w:r>
    </w:p>
    <w:p w14:paraId="282D7042" w14:textId="641366AC" w:rsidR="00443C06" w:rsidRDefault="00443C06" w:rsidP="00C41D91">
      <w:pPr>
        <w:pStyle w:val="ListParagraph"/>
        <w:numPr>
          <w:ilvl w:val="0"/>
          <w:numId w:val="4"/>
        </w:numPr>
        <w:spacing w:after="60"/>
      </w:pPr>
      <w:r>
        <w:t xml:space="preserve">Create </w:t>
      </w:r>
      <w:r w:rsidR="00206D2D">
        <w:t xml:space="preserve">plain language summary of </w:t>
      </w:r>
      <w:r w:rsidR="00EF459B">
        <w:t xml:space="preserve">all </w:t>
      </w:r>
      <w:r w:rsidR="00206D2D">
        <w:t>agreements, purpose, process, and timelines for Committee and public to better understand.</w:t>
      </w:r>
    </w:p>
    <w:p w14:paraId="3A9839B8" w14:textId="53A626DB" w:rsidR="00C41D91" w:rsidRDefault="00C41D91" w:rsidP="00C41D91">
      <w:pPr>
        <w:pStyle w:val="ListParagraph"/>
        <w:numPr>
          <w:ilvl w:val="0"/>
          <w:numId w:val="4"/>
        </w:numPr>
        <w:spacing w:after="60"/>
      </w:pPr>
      <w:r>
        <w:t>Align all agreement renegotiation timelines to coincide with FCRC biennial review cycle</w:t>
      </w:r>
    </w:p>
    <w:p w14:paraId="7CEB1D1C" w14:textId="3595ECB2" w:rsidR="00C41D91" w:rsidRDefault="00443C06" w:rsidP="00C41D91">
      <w:pPr>
        <w:pStyle w:val="ListParagraph"/>
        <w:numPr>
          <w:ilvl w:val="0"/>
          <w:numId w:val="4"/>
        </w:numPr>
        <w:spacing w:after="60"/>
      </w:pPr>
      <w:r>
        <w:t>P</w:t>
      </w:r>
      <w:r w:rsidR="00C41D91">
        <w:t>rovide FCRC access to draft audit findings for preliminary review</w:t>
      </w:r>
    </w:p>
    <w:p w14:paraId="4819F705" w14:textId="77777777" w:rsidR="00C41D91" w:rsidRDefault="00C41D91" w:rsidP="00C41D91">
      <w:pPr>
        <w:pStyle w:val="ListParagraph"/>
        <w:numPr>
          <w:ilvl w:val="0"/>
          <w:numId w:val="3"/>
        </w:numPr>
        <w:spacing w:before="120"/>
      </w:pPr>
      <w:r>
        <w:rPr>
          <w:b/>
          <w:bCs/>
        </w:rPr>
        <w:t>Ongoing Oversight Recommendations</w:t>
      </w:r>
    </w:p>
    <w:p w14:paraId="27265F86" w14:textId="66BE6CC8" w:rsidR="00C41D91" w:rsidRDefault="00C41D91" w:rsidP="00C41D91">
      <w:pPr>
        <w:pStyle w:val="ListParagraph"/>
        <w:numPr>
          <w:ilvl w:val="0"/>
          <w:numId w:val="4"/>
        </w:numPr>
        <w:spacing w:after="60"/>
      </w:pPr>
      <w:r>
        <w:t xml:space="preserve">Establish franchise success criteria beyond basic </w:t>
      </w:r>
      <w:r w:rsidR="00EF459B">
        <w:t xml:space="preserve">audit </w:t>
      </w:r>
      <w:r>
        <w:t>compliance; require comprehensive annual reporting</w:t>
      </w:r>
    </w:p>
    <w:p w14:paraId="062B4FF4" w14:textId="6B22CF44" w:rsidR="00C41D91" w:rsidRDefault="00C41D91" w:rsidP="00C41D91">
      <w:pPr>
        <w:pStyle w:val="ListParagraph"/>
        <w:numPr>
          <w:ilvl w:val="0"/>
          <w:numId w:val="4"/>
        </w:numPr>
        <w:spacing w:after="60"/>
      </w:pPr>
      <w:r>
        <w:t>Enhance Phase 2 audit scope to analyze cost drivers, particularly overhead charges in undergrounding projects</w:t>
      </w:r>
    </w:p>
    <w:p w14:paraId="46A706ED" w14:textId="77777777" w:rsidR="00C41D91" w:rsidRDefault="00C41D91" w:rsidP="00C41D91">
      <w:pPr>
        <w:pStyle w:val="ListParagraph"/>
        <w:numPr>
          <w:ilvl w:val="0"/>
          <w:numId w:val="3"/>
        </w:numPr>
        <w:spacing w:before="120"/>
      </w:pPr>
      <w:r>
        <w:rPr>
          <w:b/>
          <w:bCs/>
        </w:rPr>
        <w:t>Recommendations for Future Public Process Improvements</w:t>
      </w:r>
    </w:p>
    <w:p w14:paraId="10C19049" w14:textId="23F52346" w:rsidR="00C41D91" w:rsidRDefault="00C41D91" w:rsidP="00C41D91">
      <w:pPr>
        <w:pStyle w:val="ListParagraph"/>
        <w:numPr>
          <w:ilvl w:val="0"/>
          <w:numId w:val="4"/>
        </w:numPr>
        <w:spacing w:after="60"/>
      </w:pPr>
      <w:r>
        <w:lastRenderedPageBreak/>
        <w:t>Establish structured public input opportunities earlier in agreement negotiation process, not just post-implementation</w:t>
      </w:r>
    </w:p>
    <w:p w14:paraId="6CC9005B" w14:textId="4309050C" w:rsidR="00C41D91" w:rsidRDefault="00C41D91" w:rsidP="00C41D91">
      <w:pPr>
        <w:pStyle w:val="ListParagraph"/>
        <w:numPr>
          <w:ilvl w:val="0"/>
          <w:numId w:val="4"/>
        </w:numPr>
        <w:spacing w:after="60"/>
      </w:pPr>
      <w:r>
        <w:t xml:space="preserve">Make all written FCRC questions and stakeholder responses part of permanent public record; consider </w:t>
      </w:r>
      <w:r w:rsidR="00C23CC3">
        <w:t xml:space="preserve">more </w:t>
      </w:r>
      <w:r>
        <w:t>independent third-party presentations</w:t>
      </w:r>
    </w:p>
    <w:p w14:paraId="211DC23A" w14:textId="77777777" w:rsidR="00FD6523" w:rsidRDefault="00FD6523" w:rsidP="00FD6523">
      <w:pPr>
        <w:pStyle w:val="ListParagraph"/>
        <w:numPr>
          <w:ilvl w:val="0"/>
          <w:numId w:val="4"/>
        </w:numPr>
        <w:spacing w:after="60"/>
      </w:pPr>
      <w:r>
        <w:t>Proactively encourage public engagement; develop comprehensive timeline showing all agreement schedules</w:t>
      </w:r>
    </w:p>
    <w:p w14:paraId="761F99F8" w14:textId="7FF9504D" w:rsidR="00C41D91" w:rsidRDefault="00C41D91" w:rsidP="00C41D91">
      <w:pPr>
        <w:pStyle w:val="ListParagraph"/>
        <w:numPr>
          <w:ilvl w:val="0"/>
          <w:numId w:val="4"/>
        </w:numPr>
        <w:spacing w:after="60"/>
      </w:pPr>
      <w:r>
        <w:t>Provide plain-language summaries alongside technical materials</w:t>
      </w:r>
    </w:p>
    <w:p w14:paraId="677A0D34" w14:textId="7A1D3148" w:rsidR="00C41D91" w:rsidRDefault="00C41D91" w:rsidP="00C41D91">
      <w:pPr>
        <w:spacing w:before="80" w:after="80"/>
      </w:pPr>
      <w:r>
        <w:rPr>
          <w:b/>
          <w:bCs/>
        </w:rPr>
        <w:t xml:space="preserve">Overall Assessment: </w:t>
      </w:r>
      <w:proofErr w:type="gramStart"/>
      <w:r>
        <w:t>Brief summary</w:t>
      </w:r>
      <w:proofErr w:type="gramEnd"/>
      <w:r w:rsidR="00BF1F16">
        <w:t xml:space="preserve"> TBD</w:t>
      </w:r>
      <w:r>
        <w:t xml:space="preserve"> </w:t>
      </w:r>
    </w:p>
    <w:p w14:paraId="7A57E024" w14:textId="77777777" w:rsidR="00836E8F" w:rsidRDefault="00836E8F" w:rsidP="00836E8F">
      <w:pPr>
        <w:pStyle w:val="Heading2"/>
      </w:pPr>
    </w:p>
    <w:p w14:paraId="29C432CE" w14:textId="266031E8" w:rsidR="00836E8F" w:rsidRDefault="00836E8F" w:rsidP="00836E8F">
      <w:pPr>
        <w:pStyle w:val="Heading2"/>
      </w:pPr>
      <w:r>
        <w:t>Recommendations on Automatic Renewal</w:t>
      </w:r>
    </w:p>
    <w:p w14:paraId="3BFF1590" w14:textId="6E15A904" w:rsidR="00836E8F" w:rsidRDefault="0043131F" w:rsidP="0043131F">
      <w:pPr>
        <w:pStyle w:val="Heading2"/>
        <w:numPr>
          <w:ilvl w:val="0"/>
          <w:numId w:val="7"/>
        </w:numPr>
      </w:pPr>
      <w:r>
        <w:t>Framework for Decision</w:t>
      </w:r>
    </w:p>
    <w:p w14:paraId="03D11B03" w14:textId="77777777" w:rsidR="00965634" w:rsidRDefault="00965634" w:rsidP="00965634">
      <w:pPr>
        <w:pStyle w:val="Heading2"/>
        <w:rPr>
          <w:b w:val="0"/>
          <w:bCs w:val="0"/>
        </w:rPr>
      </w:pPr>
      <w:r w:rsidRPr="00BF1F16">
        <w:rPr>
          <w:b w:val="0"/>
          <w:bCs w:val="0"/>
        </w:rPr>
        <w:t>The Committee recommends that City Council make determinations based on both specific agreements or related MOUs and the overall impact and intent of the broader agreement process and structure.</w:t>
      </w:r>
    </w:p>
    <w:p w14:paraId="41FEFBFB" w14:textId="52CFAA9D" w:rsidR="0043131F" w:rsidRDefault="0043131F" w:rsidP="00965634">
      <w:pPr>
        <w:pStyle w:val="Heading2"/>
        <w:ind w:left="1440"/>
      </w:pPr>
    </w:p>
    <w:p w14:paraId="0D7B7FC9" w14:textId="77777777" w:rsidR="00A81F3E" w:rsidRPr="00A81F3E" w:rsidRDefault="00A81F3E" w:rsidP="00A81F3E">
      <w:pPr>
        <w:spacing w:before="120" w:after="80"/>
        <w:outlineLvl w:val="1"/>
        <w:rPr>
          <w:b/>
          <w:bCs/>
          <w:color w:val="000000"/>
          <w:sz w:val="24"/>
          <w:szCs w:val="24"/>
        </w:rPr>
      </w:pPr>
      <w:r w:rsidRPr="00A81F3E">
        <w:rPr>
          <w:b/>
          <w:bCs/>
          <w:color w:val="000000"/>
          <w:sz w:val="24"/>
          <w:szCs w:val="24"/>
        </w:rPr>
        <w:t>2. Committee's Recommendation</w:t>
      </w:r>
    </w:p>
    <w:p w14:paraId="55E1FE69" w14:textId="77777777" w:rsidR="00A81F3E" w:rsidRPr="00A81F3E" w:rsidRDefault="00A81F3E" w:rsidP="00A81F3E">
      <w:pPr>
        <w:numPr>
          <w:ilvl w:val="0"/>
          <w:numId w:val="5"/>
        </w:numPr>
        <w:spacing w:after="80"/>
      </w:pPr>
      <w:r w:rsidRPr="00A81F3E">
        <w:rPr>
          <w:b/>
          <w:bCs/>
        </w:rPr>
        <w:t>Whether to Allow Automatic Renewal to Proceed</w:t>
      </w:r>
    </w:p>
    <w:p w14:paraId="5F888735" w14:textId="3AD03F39" w:rsidR="00A81F3E" w:rsidRPr="00A81F3E" w:rsidRDefault="00A81F3E" w:rsidP="00A81F3E">
      <w:pPr>
        <w:numPr>
          <w:ilvl w:val="0"/>
          <w:numId w:val="6"/>
        </w:numPr>
        <w:spacing w:after="60"/>
      </w:pPr>
      <w:r w:rsidRPr="00A81F3E">
        <w:rPr>
          <w:b/>
          <w:bCs/>
        </w:rPr>
        <w:t xml:space="preserve">RECOMMEND CONDITIONAL APPROVAL: </w:t>
      </w:r>
      <w:r w:rsidRPr="00A81F3E">
        <w:t>The Committee recommends allowing automatic renewal to proceed subject to specific conditions outlined in Section 2b below. While SDG&amp;E has achieved baseline compliance, significant concerns regarding [</w:t>
      </w:r>
      <w:proofErr w:type="gramStart"/>
      <w:r w:rsidR="008639CB" w:rsidRPr="007526EB">
        <w:rPr>
          <w:highlight w:val="yellow"/>
        </w:rPr>
        <w:t>describe:</w:t>
      </w:r>
      <w:proofErr w:type="gramEnd"/>
      <w:r w:rsidR="008639CB" w:rsidRPr="007526EB">
        <w:rPr>
          <w:highlight w:val="yellow"/>
        </w:rPr>
        <w:t xml:space="preserve"> </w:t>
      </w:r>
      <w:r w:rsidRPr="00A81F3E">
        <w:rPr>
          <w:highlight w:val="yellow"/>
        </w:rPr>
        <w:t>measurable outcomes</w:t>
      </w:r>
      <w:r w:rsidR="008639CB" w:rsidRPr="007526EB">
        <w:rPr>
          <w:highlight w:val="yellow"/>
        </w:rPr>
        <w:t xml:space="preserve">, </w:t>
      </w:r>
      <w:r w:rsidR="00D84BC6" w:rsidRPr="007526EB">
        <w:rPr>
          <w:highlight w:val="yellow"/>
        </w:rPr>
        <w:t>timelines not structured to allow for meaningful public or Council input</w:t>
      </w:r>
      <w:r w:rsidR="00CB7D0C" w:rsidRPr="007526EB">
        <w:rPr>
          <w:highlight w:val="yellow"/>
        </w:rPr>
        <w:t>, City ability to re-negotiate is limited</w:t>
      </w:r>
      <w:r w:rsidRPr="00A81F3E">
        <w:t>] require additional commitments before the City commits to an additional 10-year term.</w:t>
      </w:r>
    </w:p>
    <w:p w14:paraId="12B37952" w14:textId="1FCEF4AA" w:rsidR="00A81F3E" w:rsidRPr="00A81F3E" w:rsidRDefault="00A81F3E" w:rsidP="00A81F3E">
      <w:pPr>
        <w:numPr>
          <w:ilvl w:val="0"/>
          <w:numId w:val="5"/>
        </w:numPr>
        <w:spacing w:before="80" w:after="80"/>
      </w:pPr>
      <w:r w:rsidRPr="00A81F3E">
        <w:rPr>
          <w:b/>
          <w:bCs/>
        </w:rPr>
        <w:t>Conditions or Contingencies</w:t>
      </w:r>
    </w:p>
    <w:p w14:paraId="52B3A8D0" w14:textId="172A0F76" w:rsidR="00A81F3E" w:rsidRDefault="00A81F3E" w:rsidP="00A81F3E">
      <w:pPr>
        <w:numPr>
          <w:ilvl w:val="0"/>
          <w:numId w:val="6"/>
        </w:numPr>
        <w:spacing w:after="60"/>
      </w:pPr>
      <w:r w:rsidRPr="00A81F3E">
        <w:t>CONDITION: All franchise-related agreement renegotiation schedules</w:t>
      </w:r>
      <w:r w:rsidR="00FF1326">
        <w:t xml:space="preserve"> or processes</w:t>
      </w:r>
      <w:r w:rsidRPr="00A81F3E">
        <w:t xml:space="preserve"> must be aligned to allow for meaningful public</w:t>
      </w:r>
      <w:r w:rsidR="00CB7D0C">
        <w:t xml:space="preserve"> and Council</w:t>
      </w:r>
      <w:r w:rsidRPr="00A81F3E">
        <w:t xml:space="preserve"> input before agreements are finalized</w:t>
      </w:r>
      <w:r w:rsidR="00FF1326">
        <w:t xml:space="preserve"> or updated</w:t>
      </w:r>
    </w:p>
    <w:p w14:paraId="7246C83D" w14:textId="14253D4D" w:rsidR="00FF1326" w:rsidRDefault="00FF1326" w:rsidP="00A81F3E">
      <w:pPr>
        <w:numPr>
          <w:ilvl w:val="0"/>
          <w:numId w:val="6"/>
        </w:numPr>
        <w:spacing w:after="60"/>
      </w:pPr>
      <w:r>
        <w:t>Others?</w:t>
      </w:r>
    </w:p>
    <w:p w14:paraId="6BBB67ED" w14:textId="77777777" w:rsidR="00A81F3E" w:rsidRPr="00A81F3E" w:rsidRDefault="00A81F3E" w:rsidP="00A81F3E">
      <w:pPr>
        <w:numPr>
          <w:ilvl w:val="0"/>
          <w:numId w:val="5"/>
        </w:numPr>
        <w:spacing w:before="80" w:after="80"/>
      </w:pPr>
      <w:r w:rsidRPr="00A81F3E">
        <w:rPr>
          <w:b/>
          <w:bCs/>
        </w:rPr>
        <w:t>Rationale for Recommendation</w:t>
      </w:r>
    </w:p>
    <w:p w14:paraId="0F8EDB72" w14:textId="77777777" w:rsidR="00A81F3E" w:rsidRPr="00A81F3E" w:rsidRDefault="00A81F3E" w:rsidP="00A81F3E">
      <w:pPr>
        <w:spacing w:before="60" w:after="80"/>
        <w:ind w:left="1440"/>
      </w:pPr>
      <w:r w:rsidRPr="00A81F3E">
        <w:t>The Committee's recommendation is based on the following factors:</w:t>
      </w:r>
    </w:p>
    <w:p w14:paraId="76857110" w14:textId="13C1E7B6" w:rsidR="00A81F3E" w:rsidRPr="00A81F3E" w:rsidRDefault="00A81F3E" w:rsidP="00A81F3E">
      <w:pPr>
        <w:numPr>
          <w:ilvl w:val="0"/>
          <w:numId w:val="6"/>
        </w:numPr>
        <w:spacing w:after="60"/>
      </w:pPr>
      <w:r w:rsidRPr="00A81F3E">
        <w:rPr>
          <w:b/>
          <w:bCs/>
        </w:rPr>
        <w:t xml:space="preserve">Compliance Assessment: </w:t>
      </w:r>
      <w:r w:rsidRPr="00A81F3E">
        <w:t xml:space="preserve">SDG&amp;E demonstrated substantial/adequate/insufficient compliance with franchise fee payments, Administrative MOU requirements, Utility Undergrounding MOU obligations, and Energy Cooperation Agreement commitments during the review period. While </w:t>
      </w:r>
      <w:r w:rsidR="00B32C5C">
        <w:t>two</w:t>
      </w:r>
      <w:r w:rsidRPr="00A81F3E">
        <w:t xml:space="preserve"> audit findings were identified, they were characterized as </w:t>
      </w:r>
      <w:r w:rsidR="00B32C5C">
        <w:t>not to be significant to audit</w:t>
      </w:r>
      <w:r w:rsidR="006F3363">
        <w:t xml:space="preserve"> objectives</w:t>
      </w:r>
    </w:p>
    <w:p w14:paraId="3C779B28" w14:textId="48986DD2" w:rsidR="002D520D" w:rsidRPr="002D520D" w:rsidRDefault="002D520D" w:rsidP="002D520D">
      <w:pPr>
        <w:numPr>
          <w:ilvl w:val="0"/>
          <w:numId w:val="6"/>
        </w:numPr>
        <w:spacing w:after="60"/>
      </w:pPr>
      <w:r w:rsidRPr="00A81F3E">
        <w:rPr>
          <w:b/>
          <w:bCs/>
        </w:rPr>
        <w:t xml:space="preserve">Cost and Financial Considerations: </w:t>
      </w:r>
      <w:r w:rsidRPr="00A81F3E">
        <w:t xml:space="preserve">Utility undergrounding costs remain at the high end of the state range, and transparency regarding overhead charges requires improvement. The </w:t>
      </w:r>
      <w:proofErr w:type="gramStart"/>
      <w:r w:rsidRPr="00A81F3E">
        <w:t>City</w:t>
      </w:r>
      <w:proofErr w:type="gramEnd"/>
      <w:r w:rsidRPr="00A81F3E">
        <w:t xml:space="preserve"> receives </w:t>
      </w:r>
      <w:r>
        <w:t>$</w:t>
      </w:r>
      <w:r w:rsidRPr="00D45E05">
        <w:rPr>
          <w:highlight w:val="yellow"/>
        </w:rPr>
        <w:t>XX</w:t>
      </w:r>
      <w:r w:rsidRPr="00A81F3E">
        <w:t xml:space="preserve"> annually in franchise fees, which represents </w:t>
      </w:r>
      <w:r w:rsidRPr="00D45E05">
        <w:rPr>
          <w:highlight w:val="yellow"/>
        </w:rPr>
        <w:t>a significant…</w:t>
      </w:r>
      <w:r w:rsidRPr="00A81F3E">
        <w:rPr>
          <w:highlight w:val="yellow"/>
        </w:rPr>
        <w:t>.</w:t>
      </w:r>
      <w:r w:rsidRPr="00A81F3E">
        <w:t xml:space="preserve"> Financial oversight mechanisms are adequate/need strengthening.</w:t>
      </w:r>
    </w:p>
    <w:p w14:paraId="67CC1630" w14:textId="7953DA66" w:rsidR="002D520D" w:rsidRPr="002D520D" w:rsidRDefault="002D520D" w:rsidP="00A81F3E">
      <w:pPr>
        <w:numPr>
          <w:ilvl w:val="0"/>
          <w:numId w:val="6"/>
        </w:numPr>
        <w:spacing w:after="60"/>
      </w:pPr>
      <w:r w:rsidRPr="00A81F3E">
        <w:rPr>
          <w:b/>
          <w:bCs/>
        </w:rPr>
        <w:t xml:space="preserve">Responsiveness to Previous Recommendations: </w:t>
      </w:r>
      <w:r w:rsidR="007A17DB">
        <w:t>Previous findings were remediated or TBD.</w:t>
      </w:r>
    </w:p>
    <w:p w14:paraId="784F6C0B" w14:textId="1AB9DFD1" w:rsidR="00A81F3E" w:rsidRPr="00A81F3E" w:rsidRDefault="00A81F3E" w:rsidP="00A81F3E">
      <w:pPr>
        <w:numPr>
          <w:ilvl w:val="0"/>
          <w:numId w:val="6"/>
        </w:numPr>
        <w:spacing w:after="60"/>
      </w:pPr>
      <w:r w:rsidRPr="00A81F3E">
        <w:rPr>
          <w:b/>
          <w:bCs/>
        </w:rPr>
        <w:t xml:space="preserve">Progress on Climate Action Plan Goals: </w:t>
      </w:r>
      <w:r w:rsidRPr="00A81F3E">
        <w:t>The ECA has resulted in limited progress toward the City's climate goals</w:t>
      </w:r>
      <w:r w:rsidR="00320F58">
        <w:t xml:space="preserve"> beyond business-as-usual activities</w:t>
      </w:r>
      <w:r w:rsidRPr="00A81F3E">
        <w:t xml:space="preserve">. </w:t>
      </w:r>
    </w:p>
    <w:p w14:paraId="67B82B79" w14:textId="18EF7A3F" w:rsidR="00A81F3E" w:rsidRPr="00A81F3E" w:rsidRDefault="00A81F3E" w:rsidP="002B4159">
      <w:pPr>
        <w:numPr>
          <w:ilvl w:val="0"/>
          <w:numId w:val="6"/>
        </w:numPr>
        <w:spacing w:after="60"/>
      </w:pPr>
      <w:r w:rsidRPr="00A81F3E">
        <w:rPr>
          <w:b/>
          <w:bCs/>
        </w:rPr>
        <w:t xml:space="preserve">Public Input and Community Concerns: </w:t>
      </w:r>
      <w:r w:rsidRPr="00A81F3E">
        <w:t xml:space="preserve">The Committee received public comment regarding </w:t>
      </w:r>
      <w:r w:rsidR="0048625C">
        <w:t>[</w:t>
      </w:r>
      <w:r w:rsidR="0048625C" w:rsidRPr="007526EB">
        <w:rPr>
          <w:highlight w:val="yellow"/>
        </w:rPr>
        <w:t>summarize</w:t>
      </w:r>
      <w:r w:rsidR="0048625C">
        <w:t>]</w:t>
      </w:r>
      <w:r w:rsidRPr="00A81F3E">
        <w:t xml:space="preserve"> The Committee has incorporated these concerns into its recommendations and assessment.</w:t>
      </w:r>
    </w:p>
    <w:p w14:paraId="1F689DF2" w14:textId="2DA0731C" w:rsidR="00A81F3E" w:rsidRPr="00A81F3E" w:rsidRDefault="00A81F3E" w:rsidP="00A81F3E">
      <w:pPr>
        <w:numPr>
          <w:ilvl w:val="0"/>
          <w:numId w:val="6"/>
        </w:numPr>
        <w:spacing w:after="60"/>
      </w:pPr>
      <w:r w:rsidRPr="00A81F3E">
        <w:rPr>
          <w:b/>
          <w:bCs/>
        </w:rPr>
        <w:t xml:space="preserve">Alternative Options: </w:t>
      </w:r>
      <w:r w:rsidRPr="00A81F3E">
        <w:t xml:space="preserve">[The Committee has considered the City's ongoing municipalization feasibility study and recognizes that </w:t>
      </w:r>
      <w:r w:rsidR="008906D1">
        <w:t>conditional</w:t>
      </w:r>
      <w:r w:rsidRPr="00A81F3E">
        <w:t xml:space="preserve"> renewal would </w:t>
      </w:r>
      <w:r w:rsidRPr="00A81F3E">
        <w:lastRenderedPageBreak/>
        <w:t xml:space="preserve">preserve maximum flexibility for future options/allowing renewal does not preclude future municipalization </w:t>
      </w:r>
      <w:r w:rsidR="0047197D">
        <w:t>studies or efforts.</w:t>
      </w:r>
    </w:p>
    <w:p w14:paraId="0B80105A" w14:textId="110BA898" w:rsidR="00A81F3E" w:rsidRPr="00A81F3E" w:rsidRDefault="00A81F3E" w:rsidP="00A81F3E">
      <w:pPr>
        <w:spacing w:before="100" w:after="80"/>
        <w:ind w:left="1440"/>
      </w:pPr>
      <w:r w:rsidRPr="00A81F3E">
        <w:rPr>
          <w:b/>
          <w:bCs/>
        </w:rPr>
        <w:t xml:space="preserve">Conclusion: </w:t>
      </w:r>
      <w:r w:rsidRPr="00A81F3E">
        <w:t xml:space="preserve">Based on the totality of these factors, the Committee believes that conditionally allowing automatic renewal best serves the interests of San Diego ratepayers and supports the City's policy objectives regarding </w:t>
      </w:r>
      <w:r w:rsidR="001E1B0A">
        <w:t>these agreements.</w:t>
      </w:r>
    </w:p>
    <w:p w14:paraId="49653EC8" w14:textId="77777777" w:rsidR="00A81F3E" w:rsidRPr="00A81F3E" w:rsidRDefault="00A81F3E" w:rsidP="00836E8F">
      <w:pPr>
        <w:pStyle w:val="Heading2"/>
        <w:rPr>
          <w:b w:val="0"/>
          <w:bCs w:val="0"/>
        </w:rPr>
      </w:pPr>
    </w:p>
    <w:p w14:paraId="3CF1F802" w14:textId="77777777" w:rsidR="00836E8F" w:rsidRDefault="00836E8F" w:rsidP="00836E8F">
      <w:pPr>
        <w:pStyle w:val="Heading2"/>
      </w:pPr>
    </w:p>
    <w:p w14:paraId="14D73E0E" w14:textId="77777777" w:rsidR="00836E8F" w:rsidRDefault="00836E8F" w:rsidP="00836E8F">
      <w:pPr>
        <w:pStyle w:val="BodyText"/>
        <w:ind w:left="0"/>
      </w:pPr>
    </w:p>
    <w:sectPr w:rsidR="00836E8F">
      <w:pgSz w:w="11906" w:h="16838"/>
      <w:pgMar w:top="1080" w:right="1080" w:bottom="1080" w:left="108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dy Hooven" w:date="2025-12-07T22:12:00Z" w:initials="CH">
    <w:p w14:paraId="53E7D72B" w14:textId="77777777" w:rsidR="000B4B4C" w:rsidRDefault="000B4B4C" w:rsidP="000B4B4C">
      <w:pPr>
        <w:pStyle w:val="CommentText"/>
      </w:pPr>
      <w:r>
        <w:rPr>
          <w:rStyle w:val="CommentReference"/>
        </w:rPr>
        <w:annotationRef/>
      </w:r>
      <w:r>
        <w:t>Confirm dates</w:t>
      </w:r>
    </w:p>
  </w:comment>
  <w:comment w:id="1" w:author="Cody Hooven" w:date="2025-12-07T22:47:00Z" w:initials="CH">
    <w:p w14:paraId="4C5DC226" w14:textId="77777777" w:rsidR="00BC3EFE" w:rsidRDefault="00BC3EFE" w:rsidP="00BC3EFE">
      <w:pPr>
        <w:pStyle w:val="CommentText"/>
      </w:pPr>
      <w:r>
        <w:rPr>
          <w:rStyle w:val="CommentReference"/>
        </w:rPr>
        <w:annotationRef/>
      </w:r>
      <w:r>
        <w:t>Needs more work from committee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E7D72B" w15:done="0"/>
  <w15:commentEx w15:paraId="4C5DC2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3D69B9" w16cex:dateUtc="2025-12-08T06:12:00Z"/>
  <w16cex:commentExtensible w16cex:durableId="3ED56F84" w16cex:dateUtc="2025-12-08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E7D72B" w16cid:durableId="163D69B9"/>
  <w16cid:commentId w16cid:paraId="4C5DC226" w16cid:durableId="3ED56F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74CAD"/>
    <w:multiLevelType w:val="hybridMultilevel"/>
    <w:tmpl w:val="B2108502"/>
    <w:lvl w:ilvl="0" w:tplc="00566404">
      <w:start w:val="1"/>
      <w:numFmt w:val="bullet"/>
      <w:lvlText w:val="•"/>
      <w:lvlJc w:val="left"/>
      <w:pPr>
        <w:ind w:left="1080" w:hanging="360"/>
      </w:pPr>
    </w:lvl>
    <w:lvl w:ilvl="1" w:tplc="75140074">
      <w:numFmt w:val="decimal"/>
      <w:lvlText w:val=""/>
      <w:lvlJc w:val="left"/>
    </w:lvl>
    <w:lvl w:ilvl="2" w:tplc="A12A3B9E">
      <w:numFmt w:val="decimal"/>
      <w:lvlText w:val=""/>
      <w:lvlJc w:val="left"/>
    </w:lvl>
    <w:lvl w:ilvl="3" w:tplc="8DD0C546">
      <w:numFmt w:val="decimal"/>
      <w:lvlText w:val=""/>
      <w:lvlJc w:val="left"/>
    </w:lvl>
    <w:lvl w:ilvl="4" w:tplc="A62C82B8">
      <w:numFmt w:val="decimal"/>
      <w:lvlText w:val=""/>
      <w:lvlJc w:val="left"/>
    </w:lvl>
    <w:lvl w:ilvl="5" w:tplc="4B069BCA">
      <w:numFmt w:val="decimal"/>
      <w:lvlText w:val=""/>
      <w:lvlJc w:val="left"/>
    </w:lvl>
    <w:lvl w:ilvl="6" w:tplc="1780D972">
      <w:numFmt w:val="decimal"/>
      <w:lvlText w:val=""/>
      <w:lvlJc w:val="left"/>
    </w:lvl>
    <w:lvl w:ilvl="7" w:tplc="AA305D30">
      <w:numFmt w:val="decimal"/>
      <w:lvlText w:val=""/>
      <w:lvlJc w:val="left"/>
    </w:lvl>
    <w:lvl w:ilvl="8" w:tplc="9710D6EA">
      <w:numFmt w:val="decimal"/>
      <w:lvlText w:val=""/>
      <w:lvlJc w:val="left"/>
    </w:lvl>
  </w:abstractNum>
  <w:abstractNum w:abstractNumId="1" w15:restartNumberingAfterBreak="0">
    <w:nsid w:val="137F28BD"/>
    <w:multiLevelType w:val="hybridMultilevel"/>
    <w:tmpl w:val="07465986"/>
    <w:lvl w:ilvl="0" w:tplc="05FE20F2">
      <w:start w:val="1"/>
      <w:numFmt w:val="lowerLetter"/>
      <w:lvlText w:val="%1."/>
      <w:lvlJc w:val="left"/>
      <w:pPr>
        <w:ind w:left="1080" w:hanging="360"/>
      </w:pPr>
    </w:lvl>
    <w:lvl w:ilvl="1" w:tplc="3C9A3216">
      <w:numFmt w:val="decimal"/>
      <w:lvlText w:val=""/>
      <w:lvlJc w:val="left"/>
      <w:pPr>
        <w:ind w:left="0" w:firstLine="0"/>
      </w:pPr>
    </w:lvl>
    <w:lvl w:ilvl="2" w:tplc="FFC255B8">
      <w:numFmt w:val="decimal"/>
      <w:lvlText w:val=""/>
      <w:lvlJc w:val="left"/>
      <w:pPr>
        <w:ind w:left="0" w:firstLine="0"/>
      </w:pPr>
    </w:lvl>
    <w:lvl w:ilvl="3" w:tplc="C9E04146">
      <w:numFmt w:val="decimal"/>
      <w:lvlText w:val=""/>
      <w:lvlJc w:val="left"/>
      <w:pPr>
        <w:ind w:left="0" w:firstLine="0"/>
      </w:pPr>
    </w:lvl>
    <w:lvl w:ilvl="4" w:tplc="6AD00B4C">
      <w:numFmt w:val="decimal"/>
      <w:lvlText w:val=""/>
      <w:lvlJc w:val="left"/>
      <w:pPr>
        <w:ind w:left="0" w:firstLine="0"/>
      </w:pPr>
    </w:lvl>
    <w:lvl w:ilvl="5" w:tplc="D02CBF32">
      <w:numFmt w:val="decimal"/>
      <w:lvlText w:val=""/>
      <w:lvlJc w:val="left"/>
      <w:pPr>
        <w:ind w:left="0" w:firstLine="0"/>
      </w:pPr>
    </w:lvl>
    <w:lvl w:ilvl="6" w:tplc="910C1910">
      <w:numFmt w:val="decimal"/>
      <w:lvlText w:val=""/>
      <w:lvlJc w:val="left"/>
      <w:pPr>
        <w:ind w:left="0" w:firstLine="0"/>
      </w:pPr>
    </w:lvl>
    <w:lvl w:ilvl="7" w:tplc="BE20740A">
      <w:numFmt w:val="decimal"/>
      <w:lvlText w:val=""/>
      <w:lvlJc w:val="left"/>
      <w:pPr>
        <w:ind w:left="0" w:firstLine="0"/>
      </w:pPr>
    </w:lvl>
    <w:lvl w:ilvl="8" w:tplc="27D8FB88">
      <w:numFmt w:val="decimal"/>
      <w:lvlText w:val=""/>
      <w:lvlJc w:val="left"/>
      <w:pPr>
        <w:ind w:left="0" w:firstLine="0"/>
      </w:pPr>
    </w:lvl>
  </w:abstractNum>
  <w:abstractNum w:abstractNumId="2" w15:restartNumberingAfterBreak="0">
    <w:nsid w:val="3DA0568A"/>
    <w:multiLevelType w:val="hybridMultilevel"/>
    <w:tmpl w:val="8446EA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B21BBD"/>
    <w:multiLevelType w:val="hybridMultilevel"/>
    <w:tmpl w:val="8C226B0C"/>
    <w:lvl w:ilvl="0" w:tplc="4CEEDF98">
      <w:start w:val="1"/>
      <w:numFmt w:val="lowerLetter"/>
      <w:lvlText w:val="%1."/>
      <w:lvlJc w:val="left"/>
      <w:pPr>
        <w:ind w:left="1080" w:hanging="360"/>
      </w:pPr>
    </w:lvl>
    <w:lvl w:ilvl="1" w:tplc="676299CA">
      <w:numFmt w:val="decimal"/>
      <w:lvlText w:val=""/>
      <w:lvlJc w:val="left"/>
    </w:lvl>
    <w:lvl w:ilvl="2" w:tplc="67D84954">
      <w:numFmt w:val="decimal"/>
      <w:lvlText w:val=""/>
      <w:lvlJc w:val="left"/>
    </w:lvl>
    <w:lvl w:ilvl="3" w:tplc="77E405CC">
      <w:numFmt w:val="decimal"/>
      <w:lvlText w:val=""/>
      <w:lvlJc w:val="left"/>
    </w:lvl>
    <w:lvl w:ilvl="4" w:tplc="E27C585E">
      <w:numFmt w:val="decimal"/>
      <w:lvlText w:val=""/>
      <w:lvlJc w:val="left"/>
    </w:lvl>
    <w:lvl w:ilvl="5" w:tplc="93B63E38">
      <w:numFmt w:val="decimal"/>
      <w:lvlText w:val=""/>
      <w:lvlJc w:val="left"/>
    </w:lvl>
    <w:lvl w:ilvl="6" w:tplc="6AA818EA">
      <w:numFmt w:val="decimal"/>
      <w:lvlText w:val=""/>
      <w:lvlJc w:val="left"/>
    </w:lvl>
    <w:lvl w:ilvl="7" w:tplc="230CF57A">
      <w:numFmt w:val="decimal"/>
      <w:lvlText w:val=""/>
      <w:lvlJc w:val="left"/>
    </w:lvl>
    <w:lvl w:ilvl="8" w:tplc="00A28EFE">
      <w:numFmt w:val="decimal"/>
      <w:lvlText w:val=""/>
      <w:lvlJc w:val="left"/>
    </w:lvl>
  </w:abstractNum>
  <w:abstractNum w:abstractNumId="4" w15:restartNumberingAfterBreak="0">
    <w:nsid w:val="5DF07E2E"/>
    <w:multiLevelType w:val="hybridMultilevel"/>
    <w:tmpl w:val="EF30B4B8"/>
    <w:lvl w:ilvl="0" w:tplc="8A5088B8">
      <w:start w:val="1"/>
      <w:numFmt w:val="bullet"/>
      <w:lvlText w:val="•"/>
      <w:lvlJc w:val="left"/>
      <w:pPr>
        <w:ind w:left="1440" w:hanging="360"/>
      </w:pPr>
    </w:lvl>
    <w:lvl w:ilvl="1" w:tplc="5DAC09C0">
      <w:numFmt w:val="decimal"/>
      <w:lvlText w:val=""/>
      <w:lvlJc w:val="left"/>
      <w:pPr>
        <w:ind w:left="0" w:firstLine="0"/>
      </w:pPr>
    </w:lvl>
    <w:lvl w:ilvl="2" w:tplc="8E0ABA60">
      <w:numFmt w:val="decimal"/>
      <w:lvlText w:val=""/>
      <w:lvlJc w:val="left"/>
      <w:pPr>
        <w:ind w:left="0" w:firstLine="0"/>
      </w:pPr>
    </w:lvl>
    <w:lvl w:ilvl="3" w:tplc="8DF22376">
      <w:numFmt w:val="decimal"/>
      <w:lvlText w:val=""/>
      <w:lvlJc w:val="left"/>
      <w:pPr>
        <w:ind w:left="0" w:firstLine="0"/>
      </w:pPr>
    </w:lvl>
    <w:lvl w:ilvl="4" w:tplc="E2E61F3C">
      <w:numFmt w:val="decimal"/>
      <w:lvlText w:val=""/>
      <w:lvlJc w:val="left"/>
      <w:pPr>
        <w:ind w:left="0" w:firstLine="0"/>
      </w:pPr>
    </w:lvl>
    <w:lvl w:ilvl="5" w:tplc="B6AA12A2">
      <w:numFmt w:val="decimal"/>
      <w:lvlText w:val=""/>
      <w:lvlJc w:val="left"/>
      <w:pPr>
        <w:ind w:left="0" w:firstLine="0"/>
      </w:pPr>
    </w:lvl>
    <w:lvl w:ilvl="6" w:tplc="2CB20172">
      <w:numFmt w:val="decimal"/>
      <w:lvlText w:val=""/>
      <w:lvlJc w:val="left"/>
      <w:pPr>
        <w:ind w:left="0" w:firstLine="0"/>
      </w:pPr>
    </w:lvl>
    <w:lvl w:ilvl="7" w:tplc="BF7A1D1C">
      <w:numFmt w:val="decimal"/>
      <w:lvlText w:val=""/>
      <w:lvlJc w:val="left"/>
      <w:pPr>
        <w:ind w:left="0" w:firstLine="0"/>
      </w:pPr>
    </w:lvl>
    <w:lvl w:ilvl="8" w:tplc="435A2344">
      <w:numFmt w:val="decimal"/>
      <w:lvlText w:val=""/>
      <w:lvlJc w:val="left"/>
      <w:pPr>
        <w:ind w:left="0" w:firstLine="0"/>
      </w:pPr>
    </w:lvl>
  </w:abstractNum>
  <w:abstractNum w:abstractNumId="5" w15:restartNumberingAfterBreak="0">
    <w:nsid w:val="6FE90FC7"/>
    <w:multiLevelType w:val="hybridMultilevel"/>
    <w:tmpl w:val="07ACC19A"/>
    <w:lvl w:ilvl="0" w:tplc="D38ADC3E">
      <w:start w:val="1"/>
      <w:numFmt w:val="decimal"/>
      <w:lvlText w:val="%1."/>
      <w:lvlJc w:val="left"/>
      <w:pPr>
        <w:ind w:left="720" w:hanging="360"/>
      </w:pPr>
    </w:lvl>
    <w:lvl w:ilvl="1" w:tplc="C4581A1E">
      <w:numFmt w:val="decimal"/>
      <w:lvlText w:val=""/>
      <w:lvlJc w:val="left"/>
    </w:lvl>
    <w:lvl w:ilvl="2" w:tplc="3ABCA2DC">
      <w:numFmt w:val="decimal"/>
      <w:lvlText w:val=""/>
      <w:lvlJc w:val="left"/>
    </w:lvl>
    <w:lvl w:ilvl="3" w:tplc="479476E6">
      <w:numFmt w:val="decimal"/>
      <w:lvlText w:val=""/>
      <w:lvlJc w:val="left"/>
    </w:lvl>
    <w:lvl w:ilvl="4" w:tplc="D05AAD7A">
      <w:numFmt w:val="decimal"/>
      <w:lvlText w:val=""/>
      <w:lvlJc w:val="left"/>
    </w:lvl>
    <w:lvl w:ilvl="5" w:tplc="B080991A">
      <w:numFmt w:val="decimal"/>
      <w:lvlText w:val=""/>
      <w:lvlJc w:val="left"/>
    </w:lvl>
    <w:lvl w:ilvl="6" w:tplc="E2463E18">
      <w:numFmt w:val="decimal"/>
      <w:lvlText w:val=""/>
      <w:lvlJc w:val="left"/>
    </w:lvl>
    <w:lvl w:ilvl="7" w:tplc="67A6E50E">
      <w:numFmt w:val="decimal"/>
      <w:lvlText w:val=""/>
      <w:lvlJc w:val="left"/>
    </w:lvl>
    <w:lvl w:ilvl="8" w:tplc="F12491C8">
      <w:numFmt w:val="decimal"/>
      <w:lvlText w:val=""/>
      <w:lvlJc w:val="left"/>
    </w:lvl>
  </w:abstractNum>
  <w:abstractNum w:abstractNumId="6" w15:restartNumberingAfterBreak="0">
    <w:nsid w:val="7B960D6A"/>
    <w:multiLevelType w:val="hybridMultilevel"/>
    <w:tmpl w:val="A2F28A72"/>
    <w:lvl w:ilvl="0" w:tplc="E2EE877E">
      <w:start w:val="1"/>
      <w:numFmt w:val="bullet"/>
      <w:lvlText w:val="●"/>
      <w:lvlJc w:val="left"/>
      <w:pPr>
        <w:ind w:left="720" w:hanging="360"/>
      </w:pPr>
    </w:lvl>
    <w:lvl w:ilvl="1" w:tplc="92CAF7E2">
      <w:start w:val="1"/>
      <w:numFmt w:val="bullet"/>
      <w:lvlText w:val="○"/>
      <w:lvlJc w:val="left"/>
      <w:pPr>
        <w:ind w:left="1440" w:hanging="360"/>
      </w:pPr>
    </w:lvl>
    <w:lvl w:ilvl="2" w:tplc="4E466036">
      <w:start w:val="1"/>
      <w:numFmt w:val="bullet"/>
      <w:lvlText w:val="■"/>
      <w:lvlJc w:val="left"/>
      <w:pPr>
        <w:ind w:left="2160" w:hanging="360"/>
      </w:pPr>
    </w:lvl>
    <w:lvl w:ilvl="3" w:tplc="5BB45DF8">
      <w:start w:val="1"/>
      <w:numFmt w:val="bullet"/>
      <w:lvlText w:val="●"/>
      <w:lvlJc w:val="left"/>
      <w:pPr>
        <w:ind w:left="2880" w:hanging="360"/>
      </w:pPr>
    </w:lvl>
    <w:lvl w:ilvl="4" w:tplc="7B60A642">
      <w:start w:val="1"/>
      <w:numFmt w:val="bullet"/>
      <w:lvlText w:val="○"/>
      <w:lvlJc w:val="left"/>
      <w:pPr>
        <w:ind w:left="3600" w:hanging="360"/>
      </w:pPr>
    </w:lvl>
    <w:lvl w:ilvl="5" w:tplc="AAFC0BEA">
      <w:start w:val="1"/>
      <w:numFmt w:val="bullet"/>
      <w:lvlText w:val="■"/>
      <w:lvlJc w:val="left"/>
      <w:pPr>
        <w:ind w:left="4320" w:hanging="360"/>
      </w:pPr>
    </w:lvl>
    <w:lvl w:ilvl="6" w:tplc="59EC4BE4">
      <w:start w:val="1"/>
      <w:numFmt w:val="bullet"/>
      <w:lvlText w:val="●"/>
      <w:lvlJc w:val="left"/>
      <w:pPr>
        <w:ind w:left="5040" w:hanging="360"/>
      </w:pPr>
    </w:lvl>
    <w:lvl w:ilvl="7" w:tplc="E3DAA06C">
      <w:start w:val="1"/>
      <w:numFmt w:val="bullet"/>
      <w:lvlText w:val="●"/>
      <w:lvlJc w:val="left"/>
      <w:pPr>
        <w:ind w:left="5760" w:hanging="360"/>
      </w:pPr>
    </w:lvl>
    <w:lvl w:ilvl="8" w:tplc="FD2AB946">
      <w:start w:val="1"/>
      <w:numFmt w:val="bullet"/>
      <w:lvlText w:val="●"/>
      <w:lvlJc w:val="left"/>
      <w:pPr>
        <w:ind w:left="6480" w:hanging="360"/>
      </w:pPr>
    </w:lvl>
  </w:abstractNum>
  <w:num w:numId="1" w16cid:durableId="1402488143">
    <w:abstractNumId w:val="6"/>
    <w:lvlOverride w:ilvl="0">
      <w:startOverride w:val="1"/>
    </w:lvlOverride>
  </w:num>
  <w:num w:numId="2" w16cid:durableId="329337542">
    <w:abstractNumId w:val="3"/>
    <w:lvlOverride w:ilvl="0">
      <w:startOverride w:val="1"/>
    </w:lvlOverride>
  </w:num>
  <w:num w:numId="3" w16cid:durableId="386882999">
    <w:abstractNumId w:val="5"/>
    <w:lvlOverride w:ilvl="0">
      <w:startOverride w:val="1"/>
    </w:lvlOverride>
  </w:num>
  <w:num w:numId="4" w16cid:durableId="1004748219">
    <w:abstractNumId w:val="0"/>
    <w:lvlOverride w:ilvl="0">
      <w:startOverride w:val="1"/>
    </w:lvlOverride>
  </w:num>
  <w:num w:numId="5" w16cid:durableId="1795981206">
    <w:abstractNumId w:val="1"/>
    <w:lvlOverride w:ilvl="0">
      <w:startOverride w:val="1"/>
    </w:lvlOverride>
    <w:lvlOverride w:ilvl="1"/>
    <w:lvlOverride w:ilvl="2"/>
    <w:lvlOverride w:ilvl="3"/>
    <w:lvlOverride w:ilvl="4"/>
    <w:lvlOverride w:ilvl="5"/>
    <w:lvlOverride w:ilvl="6"/>
    <w:lvlOverride w:ilvl="7"/>
    <w:lvlOverride w:ilvl="8"/>
  </w:num>
  <w:num w:numId="6" w16cid:durableId="848104170">
    <w:abstractNumId w:val="4"/>
  </w:num>
  <w:num w:numId="7" w16cid:durableId="15336122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dy Hooven">
    <w15:presenceInfo w15:providerId="AD" w15:userId="S::Cody@lupaaffairs.com::5b8cef24-9bc0-4c87-a5cf-b0a5191ab7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A7"/>
    <w:rsid w:val="000B4B4C"/>
    <w:rsid w:val="00136623"/>
    <w:rsid w:val="001538DD"/>
    <w:rsid w:val="001922E3"/>
    <w:rsid w:val="001E1B0A"/>
    <w:rsid w:val="00206D2D"/>
    <w:rsid w:val="00212343"/>
    <w:rsid w:val="002B4159"/>
    <w:rsid w:val="002D520D"/>
    <w:rsid w:val="00320F58"/>
    <w:rsid w:val="003E66B0"/>
    <w:rsid w:val="0043131F"/>
    <w:rsid w:val="00443C06"/>
    <w:rsid w:val="0047197D"/>
    <w:rsid w:val="0048625C"/>
    <w:rsid w:val="0049672A"/>
    <w:rsid w:val="004D6A1D"/>
    <w:rsid w:val="0052143C"/>
    <w:rsid w:val="00564947"/>
    <w:rsid w:val="00595F94"/>
    <w:rsid w:val="005C20B3"/>
    <w:rsid w:val="006C7263"/>
    <w:rsid w:val="006F3363"/>
    <w:rsid w:val="0072151C"/>
    <w:rsid w:val="00727675"/>
    <w:rsid w:val="007526EB"/>
    <w:rsid w:val="007A17DB"/>
    <w:rsid w:val="00836E8F"/>
    <w:rsid w:val="008639CB"/>
    <w:rsid w:val="0088537E"/>
    <w:rsid w:val="008906D1"/>
    <w:rsid w:val="00917F72"/>
    <w:rsid w:val="00965634"/>
    <w:rsid w:val="009E503A"/>
    <w:rsid w:val="00A81F3E"/>
    <w:rsid w:val="00A967A7"/>
    <w:rsid w:val="00B07427"/>
    <w:rsid w:val="00B32C5C"/>
    <w:rsid w:val="00B54B97"/>
    <w:rsid w:val="00B95803"/>
    <w:rsid w:val="00BC3EFE"/>
    <w:rsid w:val="00BF1F16"/>
    <w:rsid w:val="00C00BEB"/>
    <w:rsid w:val="00C23CC3"/>
    <w:rsid w:val="00C41D91"/>
    <w:rsid w:val="00C44F0A"/>
    <w:rsid w:val="00CB5029"/>
    <w:rsid w:val="00CB7D0C"/>
    <w:rsid w:val="00D45E05"/>
    <w:rsid w:val="00D67A96"/>
    <w:rsid w:val="00D81211"/>
    <w:rsid w:val="00D84BC6"/>
    <w:rsid w:val="00E33B70"/>
    <w:rsid w:val="00EF459B"/>
    <w:rsid w:val="00F0167D"/>
    <w:rsid w:val="00F04579"/>
    <w:rsid w:val="00FD6523"/>
    <w:rsid w:val="00FF1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48EF"/>
  <w15:docId w15:val="{D980B639-D1D4-49A7-B98C-CE736687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80"/>
      <w:outlineLvl w:val="0"/>
    </w:pPr>
    <w:rPr>
      <w:b/>
      <w:bCs/>
      <w:color w:val="000000"/>
      <w:sz w:val="28"/>
      <w:szCs w:val="28"/>
    </w:rPr>
  </w:style>
  <w:style w:type="paragraph" w:styleId="Heading2">
    <w:name w:val="heading 2"/>
    <w:uiPriority w:val="9"/>
    <w:unhideWhenUsed/>
    <w:qFormat/>
    <w:pPr>
      <w:spacing w:before="120" w:after="60"/>
      <w:ind w:left="360"/>
      <w:outlineLvl w:val="1"/>
    </w:pPr>
    <w:rPr>
      <w:b/>
      <w:bCs/>
      <w:color w:val="00000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pPr>
      <w:spacing w:after="80"/>
      <w:ind w:left="720"/>
    </w:pPr>
  </w:style>
  <w:style w:type="character" w:styleId="CommentReference">
    <w:name w:val="annotation reference"/>
    <w:basedOn w:val="DefaultParagraphFont"/>
    <w:uiPriority w:val="99"/>
    <w:semiHidden/>
    <w:unhideWhenUsed/>
    <w:rsid w:val="000B4B4C"/>
    <w:rPr>
      <w:sz w:val="16"/>
      <w:szCs w:val="16"/>
    </w:rPr>
  </w:style>
  <w:style w:type="paragraph" w:styleId="CommentText">
    <w:name w:val="annotation text"/>
    <w:basedOn w:val="Normal"/>
    <w:link w:val="CommentTextChar"/>
    <w:uiPriority w:val="99"/>
    <w:unhideWhenUsed/>
    <w:rsid w:val="000B4B4C"/>
    <w:rPr>
      <w:sz w:val="20"/>
      <w:szCs w:val="20"/>
    </w:rPr>
  </w:style>
  <w:style w:type="character" w:customStyle="1" w:styleId="CommentTextChar">
    <w:name w:val="Comment Text Char"/>
    <w:basedOn w:val="DefaultParagraphFont"/>
    <w:link w:val="CommentText"/>
    <w:uiPriority w:val="99"/>
    <w:rsid w:val="000B4B4C"/>
    <w:rPr>
      <w:sz w:val="20"/>
      <w:szCs w:val="20"/>
    </w:rPr>
  </w:style>
  <w:style w:type="paragraph" w:styleId="CommentSubject">
    <w:name w:val="annotation subject"/>
    <w:basedOn w:val="CommentText"/>
    <w:next w:val="CommentText"/>
    <w:link w:val="CommentSubjectChar"/>
    <w:uiPriority w:val="99"/>
    <w:semiHidden/>
    <w:unhideWhenUsed/>
    <w:rsid w:val="000B4B4C"/>
    <w:rPr>
      <w:b/>
      <w:bCs/>
    </w:rPr>
  </w:style>
  <w:style w:type="character" w:customStyle="1" w:styleId="CommentSubjectChar">
    <w:name w:val="Comment Subject Char"/>
    <w:basedOn w:val="CommentTextChar"/>
    <w:link w:val="CommentSubject"/>
    <w:uiPriority w:val="99"/>
    <w:semiHidden/>
    <w:rsid w:val="000B4B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195a7f-19fb-4c0b-9575-aedff449e922" xsi:nil="true"/>
    <lcf76f155ced4ddcb4097134ff3c332f xmlns="c412bc58-87e2-41d2-965d-0a5ad2dcaf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91F6956D1DE42B9A584FBA0A817D7" ma:contentTypeVersion="13" ma:contentTypeDescription="Create a new document." ma:contentTypeScope="" ma:versionID="cebf795125e5908509d0cb8446be0411">
  <xsd:schema xmlns:xsd="http://www.w3.org/2001/XMLSchema" xmlns:xs="http://www.w3.org/2001/XMLSchema" xmlns:p="http://schemas.microsoft.com/office/2006/metadata/properties" xmlns:ns2="c412bc58-87e2-41d2-965d-0a5ad2dcafa3" xmlns:ns3="8a195a7f-19fb-4c0b-9575-aedff449e922" targetNamespace="http://schemas.microsoft.com/office/2006/metadata/properties" ma:root="true" ma:fieldsID="8b4d8d415c45ca3189639b6275bc3cf6" ns2:_="" ns3:_="">
    <xsd:import namespace="c412bc58-87e2-41d2-965d-0a5ad2dcafa3"/>
    <xsd:import namespace="8a195a7f-19fb-4c0b-9575-aedff449e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2bc58-87e2-41d2-965d-0a5ad2dca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d174f9a-d9c2-49e9-b05c-597e952d22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95a7f-19fb-4c0b-9575-aedff449e9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9a9fea-bb84-4ee4-bb71-134bfbd98471}" ma:internalName="TaxCatchAll" ma:showField="CatchAllData" ma:web="8a195a7f-19fb-4c0b-9575-aedff449e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FD501-02D4-46B4-B942-88A5C4153BE9}">
  <ds:schemaRefs>
    <ds:schemaRef ds:uri="http://schemas.microsoft.com/office/2006/metadata/properties"/>
    <ds:schemaRef ds:uri="http://schemas.microsoft.com/office/infopath/2007/PartnerControls"/>
    <ds:schemaRef ds:uri="8a195a7f-19fb-4c0b-9575-aedff449e922"/>
    <ds:schemaRef ds:uri="c412bc58-87e2-41d2-965d-0a5ad2dcafa3"/>
  </ds:schemaRefs>
</ds:datastoreItem>
</file>

<file path=customXml/itemProps2.xml><?xml version="1.0" encoding="utf-8"?>
<ds:datastoreItem xmlns:ds="http://schemas.openxmlformats.org/officeDocument/2006/customXml" ds:itemID="{D0E5F4FB-05E8-4540-BF65-59E6005BEE7F}">
  <ds:schemaRefs>
    <ds:schemaRef ds:uri="http://schemas.microsoft.com/sharepoint/v3/contenttype/forms"/>
  </ds:schemaRefs>
</ds:datastoreItem>
</file>

<file path=customXml/itemProps3.xml><?xml version="1.0" encoding="utf-8"?>
<ds:datastoreItem xmlns:ds="http://schemas.openxmlformats.org/officeDocument/2006/customXml" ds:itemID="{91F1F5E9-1818-468D-8A3C-E7BE10758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2bc58-87e2-41d2-965d-0a5ad2dcafa3"/>
    <ds:schemaRef ds:uri="8a195a7f-19fb-4c0b-9575-aedff449e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1384</Words>
  <Characters>7894</Characters>
  <Application>Microsoft Office Word</Application>
  <DocSecurity>0</DocSecurity>
  <Lines>65</Lines>
  <Paragraphs>18</Paragraphs>
  <ScaleCrop>false</ScaleCrop>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Ong, Megan</cp:lastModifiedBy>
  <cp:revision>56</cp:revision>
  <dcterms:created xsi:type="dcterms:W3CDTF">2025-12-08T05:37:00Z</dcterms:created>
  <dcterms:modified xsi:type="dcterms:W3CDTF">2025-12-08T16:24:00Z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0x01010052C91F6956D1DE42B9A584FBA0A817D7</vt:lpwstr>
  </property>
  <property fmtid="{D5CDD505-2E9C-101B-9397-08002B2CF9AE}" pid="3" name="GrammarlyDocumentId">
    <vt:lpwstr>2bfd1020-2656-47ae-968b-b492616c3d29</vt:lpwstr>
  </property>
  <property fmtid="{D5CDD505-2E9C-101B-9397-08002B2CF9AE}" pid="4" name="MediaServiceImageTags">
    <vt:lpwstr/>
  </property>
</Properties>
</file>