
<file path=[Content_Types].xml><?xml version="1.0" encoding="utf-8"?>
<Types xmlns="http://schemas.openxmlformats.org/package/2006/content-types">
  <Default Extension="odttf" ContentType="application/vnd.openxmlformats-officedocument.obfuscatedFont"/>
  <Default Extension="rels" ContentType="application/vnd.openxmlformats-package.relationships+xml"/>
  <Default Extension="xml" ContentType="application/xml"/>
  <Override PartName="/word/numbering.xml" ContentType="application/vnd.openxmlformats-officedocument.wordprocessingml.numbering+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document.xml" ContentType="application/vnd.openxmlformats-officedocument.wordprocessingml.document.main+xml"/>
  <Override PartName="/word/theme/theme1.xml" ContentType="application/vnd.openxmlformats-officedocument.theme+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2" Type="http://schemas.openxmlformats.org/officeDocument/2006/relationships/custom-properties" Target="docProps/custom.xml"/><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both"/>
        <w:rPr/>
      </w:pPr>
      <w:r w:rsidDel="00000000" w:rsidR="00000000" w:rsidRPr="00000000">
        <w:rPr>
          <w:rtl w:val="0"/>
        </w:rPr>
        <w:t xml:space="preserve">ACTIVITIES AND PROCESS OF THE FCRC</w:t>
      </w:r>
    </w:p>
    <w:p w:rsidR="00000000" w:rsidDel="00000000" w:rsidP="00000000" w:rsidRDefault="00000000" w:rsidRPr="00000000" w14:paraId="00000002">
      <w:pPr>
        <w:jc w:val="both"/>
        <w:rPr/>
      </w:pPr>
      <w:r w:rsidDel="00000000" w:rsidR="00000000" w:rsidRPr="00000000">
        <w:rPr>
          <w:rtl w:val="0"/>
        </w:rPr>
      </w:r>
    </w:p>
    <w:p w:rsidR="00000000" w:rsidDel="00000000" w:rsidP="00000000" w:rsidRDefault="00000000" w:rsidRPr="00000000" w14:paraId="00000003">
      <w:pPr>
        <w:jc w:val="both"/>
        <w:rPr>
          <w:i w:val="1"/>
          <w:iCs w:val="1"/>
        </w:rPr>
      </w:pPr>
      <w:r w:rsidDel="00000000" w:rsidR="00000000" w:rsidRPr="00000000">
        <w:rPr>
          <w:i w:val="1"/>
          <w:iCs w:val="1"/>
          <w:rtl w:val="0"/>
        </w:rPr>
        <w:t xml:space="preserve">Committee Formation and Timeline</w:t>
      </w:r>
    </w:p>
    <w:p w:rsidR="00000000" w:rsidDel="00000000" w:rsidP="00000000" w:rsidRDefault="00000000" w:rsidRPr="00000000" w14:paraId="00000004">
      <w:pPr>
        <w:jc w:val="both"/>
        <w:rPr/>
      </w:pPr>
      <w:r w:rsidDel="00000000" w:rsidR="00000000" w:rsidRPr="00000000">
        <w:rPr>
          <w:rtl w:val="0"/>
        </w:rPr>
      </w:r>
    </w:p>
    <w:p w:rsidR="00000000" w:rsidDel="00000000" w:rsidP="00000000" w:rsidRDefault="00000000" w:rsidRPr="00000000" w14:paraId="00000005">
      <w:pPr>
        <w:jc w:val="both"/>
        <w:rPr/>
      </w:pPr>
      <w:r w:rsidDel="00000000" w:rsidR="00000000" w:rsidRPr="00000000">
        <w:rPr>
          <w:rtl w:val="0"/>
        </w:rPr>
        <w:t xml:space="preserve">The Franchise Compliance Review Committee for the 2025–2026 compliance review cycle was formally convened in March 2025, pursuant to the requirements established in the Electric and Gas Franchise Agreements and implementing ordinances. Committee members were appointed by the City Council and Mayor consistent with the City’s procedures for advisory bodies.</w:t>
      </w:r>
    </w:p>
    <w:p w:rsidR="00000000" w:rsidDel="00000000" w:rsidP="00000000" w:rsidRDefault="00000000" w:rsidRPr="00000000" w14:paraId="00000006">
      <w:pPr>
        <w:jc w:val="both"/>
        <w:rPr/>
      </w:pPr>
      <w:r w:rsidDel="00000000" w:rsidR="00000000" w:rsidRPr="00000000">
        <w:rPr>
          <w:rtl w:val="0"/>
        </w:rPr>
      </w:r>
    </w:p>
    <w:p w:rsidR="00000000" w:rsidDel="00000000" w:rsidP="00000000" w:rsidRDefault="00000000" w:rsidRPr="00000000" w14:paraId="00000007">
      <w:pPr>
        <w:jc w:val="both"/>
        <w:rPr/>
      </w:pPr>
      <w:r w:rsidDel="00000000" w:rsidR="00000000" w:rsidRPr="00000000">
        <w:rPr>
          <w:rtl w:val="0"/>
        </w:rPr>
        <w:t xml:space="preserve">Following its formation, the Committee established a structured workplan designed to ensure compliance with the 180-day statutory window for reviewing the independent audit results and preparing recommendations to the City Council. Key milestones included:</w:t>
      </w:r>
    </w:p>
    <w:p w:rsidR="00000000" w:rsidDel="00000000" w:rsidP="00000000" w:rsidRDefault="00000000" w:rsidRPr="00000000" w14:paraId="00000008">
      <w:pPr>
        <w:jc w:val="both"/>
        <w:rPr/>
      </w:pPr>
      <w:r w:rsidDel="00000000" w:rsidR="00000000" w:rsidRPr="00000000">
        <w:rPr>
          <w:rtl w:val="0"/>
        </w:rPr>
      </w:r>
    </w:p>
    <w:p w:rsidR="00000000" w:rsidDel="00000000" w:rsidP="00000000" w:rsidRDefault="00000000" w:rsidRPr="00000000" w14:paraId="00000009">
      <w:pPr>
        <w:numPr>
          <w:ilvl w:val="0"/>
          <w:numId w:val="2"/>
        </w:numPr>
        <w:ind w:left="720" w:hanging="360"/>
        <w:jc w:val="both"/>
        <w:rPr>
          <w:b w:val="1"/>
          <w:bCs w:val="1"/>
        </w:rPr>
      </w:pPr>
      <w:r w:rsidDel="00000000" w:rsidR="00000000" w:rsidRPr="00000000">
        <w:rPr>
          <w:b w:val="1"/>
          <w:bCs w:val="1"/>
          <w:rtl w:val="0"/>
        </w:rPr>
        <w:t xml:space="preserve">March 6, 2025 - Committee Inaugural Meeting</w:t>
      </w:r>
    </w:p>
    <w:p w:rsidR="00000000" w:rsidDel="00000000" w:rsidP="00000000" w:rsidRDefault="00000000" w:rsidRPr="00000000" w14:paraId="0000000A">
      <w:pPr>
        <w:ind w:left="720" w:firstLine="0"/>
        <w:jc w:val="both"/>
        <w:rPr/>
      </w:pPr>
      <w:r w:rsidDel="00000000" w:rsidR="00000000" w:rsidRPr="00000000">
        <w:rPr>
          <w:rtl w:val="0"/>
        </w:rPr>
        <w:t xml:space="preserve">Introduction of members; review of the committee’s charge; briefing by City staff on the franchise agreements and oversight expectations.</w:t>
        <w:br w:type="textWrapping"/>
      </w:r>
    </w:p>
    <w:p w:rsidR="00000000" w:rsidDel="00000000" w:rsidP="00000000" w:rsidRDefault="00000000" w:rsidRPr="00000000" w14:paraId="0000000B">
      <w:pPr>
        <w:numPr>
          <w:ilvl w:val="0"/>
          <w:numId w:val="2"/>
        </w:numPr>
        <w:ind w:left="720" w:hanging="360"/>
        <w:jc w:val="both"/>
      </w:pPr>
      <w:r w:rsidDel="00000000" w:rsidR="00000000" w:rsidRPr="00000000">
        <w:rPr>
          <w:b w:val="1"/>
          <w:bCs w:val="1"/>
          <w:rtl w:val="0"/>
        </w:rPr>
        <w:t xml:space="preserve">March-October 2025 -Topic-Specific Briefings</w:t>
      </w:r>
      <w:r w:rsidDel="00000000" w:rsidR="00000000" w:rsidRPr="00000000">
        <w:rPr>
          <w:rtl w:val="0"/>
        </w:rPr>
        <w:br w:type="textWrapping"/>
        <w:t xml:space="preserve">A series of presentations were received from City staff, SDG&amp;E, San Diego Community Power (SDCP), members of the previous franchise committee and the independent auditing team. Each briefing addressed one component of the franchise agreement or associated MOUs or in the committee members case process of the previous compliance review.</w:t>
        <w:br w:type="textWrapping"/>
      </w:r>
    </w:p>
    <w:p w:rsidR="00000000" w:rsidDel="00000000" w:rsidP="00000000" w:rsidRDefault="00000000" w:rsidRPr="00000000" w14:paraId="0000000C">
      <w:pPr>
        <w:numPr>
          <w:ilvl w:val="0"/>
          <w:numId w:val="2"/>
        </w:numPr>
        <w:ind w:left="720" w:hanging="360"/>
        <w:jc w:val="both"/>
      </w:pPr>
      <w:r w:rsidDel="00000000" w:rsidR="00000000" w:rsidRPr="00000000">
        <w:rPr>
          <w:b w:val="1"/>
          <w:bCs w:val="1"/>
          <w:rtl w:val="0"/>
        </w:rPr>
        <w:t xml:space="preserve">November  2025 - Final Audit Report Review</w:t>
      </w:r>
      <w:r w:rsidDel="00000000" w:rsidR="00000000" w:rsidRPr="00000000">
        <w:rPr>
          <w:rtl w:val="0"/>
        </w:rPr>
        <w:br w:type="textWrapping"/>
        <w:t xml:space="preserve">The independent auditor delivered its Phase 2 audit findings. The Committee evaluated the results and began drafting its report and recommendations.</w:t>
        <w:br w:type="textWrapping"/>
      </w:r>
    </w:p>
    <w:p w:rsidR="00000000" w:rsidDel="00000000" w:rsidP="00000000" w:rsidRDefault="00000000" w:rsidRPr="00000000" w14:paraId="0000000D">
      <w:pPr>
        <w:numPr>
          <w:ilvl w:val="0"/>
          <w:numId w:val="2"/>
        </w:numPr>
        <w:ind w:left="720" w:hanging="360"/>
        <w:jc w:val="both"/>
      </w:pPr>
      <w:r w:rsidDel="00000000" w:rsidR="00000000" w:rsidRPr="00000000">
        <w:rPr>
          <w:b w:val="1"/>
          <w:bCs w:val="1"/>
          <w:rtl w:val="0"/>
        </w:rPr>
        <w:t xml:space="preserve">December 2025 </w:t>
      </w:r>
      <w:r w:rsidDel="00000000" w:rsidR="00000000" w:rsidRPr="00000000">
        <w:rPr>
          <w:rtl w:val="0"/>
        </w:rPr>
        <w:t xml:space="preserve">-</w:t>
      </w:r>
      <w:r w:rsidDel="00000000" w:rsidR="00000000" w:rsidRPr="00000000">
        <w:rPr>
          <w:b w:val="1"/>
          <w:bCs w:val="1"/>
          <w:rtl w:val="0"/>
        </w:rPr>
        <w:t xml:space="preserve"> Preparation of Final Committee Repor</w:t>
      </w:r>
      <w:r w:rsidDel="00000000" w:rsidR="00000000" w:rsidRPr="00000000">
        <w:rPr>
          <w:rtl w:val="0"/>
        </w:rPr>
        <w:t xml:space="preserve">t</w:t>
        <w:br w:type="textWrapping"/>
        <w:t xml:space="preserve">Compilation of findings, recommendations, and the Committee’s renewal guidance to City Council.</w:t>
        <w:br w:type="textWrapping"/>
      </w:r>
    </w:p>
    <w:p w:rsidR="00000000" w:rsidDel="00000000" w:rsidP="00000000" w:rsidRDefault="00000000" w:rsidRPr="00000000" w14:paraId="0000000E">
      <w:pPr>
        <w:jc w:val="both"/>
        <w:rPr/>
      </w:pPr>
      <w:r w:rsidDel="00000000" w:rsidR="00000000" w:rsidRPr="00000000">
        <w:rPr>
          <w:rtl w:val="0"/>
        </w:rPr>
        <w:t xml:space="preserve">The Committee met regularly throughout the review period and adhered to all applicable legal requirements regarding transparency and public access. All meetings allowed time for public comment.</w:t>
      </w:r>
    </w:p>
    <w:p w:rsidR="00000000" w:rsidDel="00000000" w:rsidP="00000000" w:rsidRDefault="00000000" w:rsidRPr="00000000" w14:paraId="0000000F">
      <w:pPr>
        <w:jc w:val="both"/>
        <w:rPr/>
      </w:pPr>
      <w:r w:rsidDel="00000000" w:rsidR="00000000" w:rsidRPr="00000000">
        <w:rPr>
          <w:rtl w:val="0"/>
        </w:rPr>
      </w:r>
    </w:p>
    <w:p w:rsidR="00000000" w:rsidDel="00000000" w:rsidP="00000000" w:rsidRDefault="00000000" w:rsidRPr="00000000" w14:paraId="00000010">
      <w:pPr>
        <w:jc w:val="both"/>
        <w:rPr>
          <w:b w:val="1"/>
          <w:bCs w:val="1"/>
        </w:rPr>
      </w:pPr>
      <w:r w:rsidDel="00000000" w:rsidR="00000000" w:rsidRPr="00000000">
        <w:rPr>
          <w:b w:val="1"/>
          <w:bCs w:val="1"/>
          <w:rtl w:val="0"/>
        </w:rPr>
        <w:t xml:space="preserve">Public Meeting Summary</w:t>
      </w:r>
    </w:p>
    <w:p w:rsidR="00000000" w:rsidDel="00000000" w:rsidP="00000000" w:rsidRDefault="00000000" w:rsidRPr="00000000" w14:paraId="00000011">
      <w:pPr>
        <w:jc w:val="both"/>
        <w:rPr>
          <w:i w:val="1"/>
          <w:iCs w:val="1"/>
        </w:rPr>
      </w:pPr>
      <w:r w:rsidDel="00000000" w:rsidR="00000000" w:rsidRPr="00000000">
        <w:rPr>
          <w:rtl w:val="0"/>
        </w:rPr>
      </w:r>
    </w:p>
    <w:p w:rsidR="00000000" w:rsidDel="00000000" w:rsidP="00000000" w:rsidRDefault="00000000" w:rsidRPr="00000000" w14:paraId="00000012">
      <w:pPr>
        <w:jc w:val="both"/>
        <w:rPr>
          <w:i w:val="1"/>
          <w:iCs w:val="1"/>
        </w:rPr>
      </w:pPr>
      <w:r w:rsidDel="00000000" w:rsidR="00000000" w:rsidRPr="00000000">
        <w:rPr>
          <w:i w:val="1"/>
          <w:iCs w:val="1"/>
          <w:rtl w:val="0"/>
        </w:rPr>
        <w:t xml:space="preserve">Meeting Schedule and Format</w:t>
      </w:r>
    </w:p>
    <w:p w:rsidR="00000000" w:rsidDel="00000000" w:rsidP="00000000" w:rsidRDefault="00000000" w:rsidRPr="00000000" w14:paraId="00000013">
      <w:pPr>
        <w:jc w:val="both"/>
        <w:rPr/>
      </w:pPr>
      <w:r w:rsidDel="00000000" w:rsidR="00000000" w:rsidRPr="00000000">
        <w:rPr>
          <w:rtl w:val="0"/>
        </w:rPr>
        <w:t xml:space="preserve">Between March and December 2025, the Committee held 10 publicly noticed meetings. These meetings were conducted in hybrid formats to enhance public accessibility. However, only committee members present were recognized and allowed to vote.</w:t>
      </w:r>
      <w:r w:rsidDel="00000000" w:rsidR="00000000" w:rsidRPr="00000000">
        <w:rPr>
          <w:rtl w:val="0"/>
        </w:rPr>
      </w:r>
    </w:p>
    <w:p w:rsidR="00000000" w:rsidDel="00000000" w:rsidP="00000000" w:rsidRDefault="00000000" w:rsidRPr="00000000" w14:paraId="00000014">
      <w:pPr>
        <w:jc w:val="both"/>
        <w:rPr/>
      </w:pPr>
      <w:r w:rsidDel="00000000" w:rsidR="00000000" w:rsidRPr="00000000">
        <w:rPr>
          <w:rtl w:val="0"/>
        </w:rPr>
      </w:r>
    </w:p>
    <w:p w:rsidR="00000000" w:rsidDel="00000000" w:rsidP="00000000" w:rsidRDefault="00000000" w:rsidRPr="00000000" w14:paraId="00000015">
      <w:pPr>
        <w:jc w:val="both"/>
        <w:rPr/>
      </w:pPr>
      <w:r w:rsidDel="00000000" w:rsidR="00000000" w:rsidRPr="00000000">
        <w:rPr>
          <w:rtl w:val="0"/>
        </w:rPr>
        <w:t xml:space="preserve">All meetings were noticed and conducted in compliance with the Brown Act, including:</w:t>
      </w:r>
    </w:p>
    <w:p w:rsidR="00000000" w:rsidDel="00000000" w:rsidP="00000000" w:rsidRDefault="00000000" w:rsidRPr="00000000" w14:paraId="00000016">
      <w:pPr>
        <w:jc w:val="both"/>
        <w:rPr/>
      </w:pPr>
      <w:r w:rsidDel="00000000" w:rsidR="00000000" w:rsidRPr="00000000">
        <w:rPr>
          <w:rtl w:val="0"/>
        </w:rPr>
      </w:r>
    </w:p>
    <w:p w:rsidR="00000000" w:rsidDel="00000000" w:rsidP="00000000" w:rsidRDefault="00000000" w:rsidRPr="00000000" w14:paraId="00000017">
      <w:pPr>
        <w:numPr>
          <w:ilvl w:val="0"/>
          <w:numId w:val="4"/>
        </w:numPr>
        <w:ind w:left="720" w:hanging="360"/>
        <w:jc w:val="both"/>
        <w:rPr>
          <w:u w:val="none"/>
        </w:rPr>
      </w:pPr>
      <w:r w:rsidDel="00000000" w:rsidR="00000000" w:rsidRPr="00000000">
        <w:rPr>
          <w:rtl w:val="0"/>
        </w:rPr>
        <w:t xml:space="preserve">Posting Agendas: All meeting agendas were posted at least 72 hours in advance, allowing the public adequate notice to prepare and participate.</w:t>
      </w:r>
    </w:p>
    <w:p w:rsidR="00000000" w:rsidDel="00000000" w:rsidP="00000000" w:rsidRDefault="00000000" w:rsidRPr="00000000" w14:paraId="00000018">
      <w:pPr>
        <w:ind w:left="1440" w:firstLine="0"/>
        <w:jc w:val="both"/>
        <w:rPr/>
      </w:pPr>
      <w:r w:rsidDel="00000000" w:rsidR="00000000" w:rsidRPr="00000000">
        <w:rPr>
          <w:rtl w:val="0"/>
        </w:rPr>
      </w:r>
    </w:p>
    <w:p w:rsidR="00000000" w:rsidDel="00000000" w:rsidP="00000000" w:rsidRDefault="00000000" w:rsidRPr="00000000" w14:paraId="00000019">
      <w:pPr>
        <w:numPr>
          <w:ilvl w:val="0"/>
          <w:numId w:val="4"/>
        </w:numPr>
        <w:ind w:left="720" w:hanging="360"/>
        <w:jc w:val="both"/>
        <w:rPr>
          <w:u w:val="none"/>
        </w:rPr>
      </w:pPr>
      <w:r w:rsidDel="00000000" w:rsidR="00000000" w:rsidRPr="00000000">
        <w:rPr>
          <w:rtl w:val="0"/>
        </w:rPr>
        <w:t xml:space="preserve">Teleconference Accessibility: Meetings included provisions for teleconference participation, ensuring that individuals unable to attend in person had the opportunity to engage.</w:t>
      </w:r>
    </w:p>
    <w:p w:rsidR="00000000" w:rsidDel="00000000" w:rsidP="00000000" w:rsidRDefault="00000000" w:rsidRPr="00000000" w14:paraId="0000001A">
      <w:pPr>
        <w:ind w:left="1440" w:firstLine="0"/>
        <w:jc w:val="both"/>
        <w:rPr/>
      </w:pPr>
      <w:r w:rsidDel="00000000" w:rsidR="00000000" w:rsidRPr="00000000">
        <w:rPr>
          <w:rtl w:val="0"/>
        </w:rPr>
      </w:r>
    </w:p>
    <w:p w:rsidR="00000000" w:rsidDel="00000000" w:rsidP="00000000" w:rsidRDefault="00000000" w:rsidRPr="00000000" w14:paraId="0000001B">
      <w:pPr>
        <w:numPr>
          <w:ilvl w:val="0"/>
          <w:numId w:val="4"/>
        </w:numPr>
        <w:ind w:left="720" w:hanging="360"/>
        <w:jc w:val="both"/>
        <w:rPr>
          <w:u w:val="none"/>
        </w:rPr>
      </w:pPr>
      <w:r w:rsidDel="00000000" w:rsidR="00000000" w:rsidRPr="00000000">
        <w:rPr>
          <w:rtl w:val="0"/>
        </w:rPr>
        <w:t xml:space="preserve">Real-time Public Comment: The agenda allowed for real-time public comment, enabling community members to express their opinions and ask questions during the meeting.</w:t>
      </w:r>
    </w:p>
    <w:p w:rsidR="00000000" w:rsidDel="00000000" w:rsidP="00000000" w:rsidRDefault="00000000" w:rsidRPr="00000000" w14:paraId="0000001C">
      <w:pPr>
        <w:ind w:left="1440" w:firstLine="0"/>
        <w:jc w:val="both"/>
        <w:rPr/>
      </w:pPr>
      <w:r w:rsidDel="00000000" w:rsidR="00000000" w:rsidRPr="00000000">
        <w:rPr>
          <w:rtl w:val="0"/>
        </w:rPr>
      </w:r>
    </w:p>
    <w:p w:rsidR="00000000" w:rsidDel="00000000" w:rsidP="00000000" w:rsidRDefault="00000000" w:rsidRPr="00000000" w14:paraId="0000001D">
      <w:pPr>
        <w:numPr>
          <w:ilvl w:val="0"/>
          <w:numId w:val="4"/>
        </w:numPr>
        <w:ind w:left="720" w:hanging="360"/>
        <w:jc w:val="both"/>
        <w:rPr>
          <w:u w:val="none"/>
        </w:rPr>
      </w:pPr>
      <w:r w:rsidDel="00000000" w:rsidR="00000000" w:rsidRPr="00000000">
        <w:rPr>
          <w:rtl w:val="0"/>
        </w:rPr>
        <w:t xml:space="preserve">Accessible Meeting Locations: Meetings were held in locations that were accessible to all individuals, ensuring that everyone had the opportunity to attend and participate.</w:t>
      </w:r>
    </w:p>
    <w:p w:rsidR="00000000" w:rsidDel="00000000" w:rsidP="00000000" w:rsidRDefault="00000000" w:rsidRPr="00000000" w14:paraId="0000001E">
      <w:pPr>
        <w:jc w:val="both"/>
        <w:rPr/>
      </w:pPr>
      <w:r w:rsidDel="00000000" w:rsidR="00000000" w:rsidRPr="00000000">
        <w:rPr>
          <w:rtl w:val="0"/>
        </w:rPr>
      </w:r>
    </w:p>
    <w:p w:rsidR="00000000" w:rsidDel="00000000" w:rsidP="00000000" w:rsidRDefault="00000000" w:rsidRPr="00000000" w14:paraId="0000001F">
      <w:pPr>
        <w:jc w:val="both"/>
        <w:rPr>
          <w:i w:val="1"/>
          <w:iCs w:val="1"/>
        </w:rPr>
      </w:pPr>
      <w:r w:rsidDel="00000000" w:rsidR="00000000" w:rsidRPr="00000000">
        <w:rPr>
          <w:i w:val="1"/>
          <w:iCs w:val="1"/>
          <w:rtl w:val="0"/>
        </w:rPr>
        <w:t xml:space="preserve">Public Accessibility Measures</w:t>
      </w:r>
    </w:p>
    <w:p w:rsidR="00000000" w:rsidDel="00000000" w:rsidP="00000000" w:rsidRDefault="00000000" w:rsidRPr="00000000" w14:paraId="00000020">
      <w:pPr>
        <w:jc w:val="both"/>
        <w:rPr/>
      </w:pPr>
      <w:r w:rsidDel="00000000" w:rsidR="00000000" w:rsidRPr="00000000">
        <w:rPr>
          <w:rtl w:val="0"/>
        </w:rPr>
        <w:t xml:space="preserve">To ensure meaningful public participation:</w:t>
      </w:r>
    </w:p>
    <w:p w:rsidR="00000000" w:rsidDel="00000000" w:rsidP="00000000" w:rsidRDefault="00000000" w:rsidRPr="00000000" w14:paraId="00000021">
      <w:pPr>
        <w:numPr>
          <w:ilvl w:val="0"/>
          <w:numId w:val="3"/>
        </w:numPr>
        <w:ind w:left="720" w:hanging="360"/>
        <w:jc w:val="both"/>
      </w:pPr>
      <w:r w:rsidDel="00000000" w:rsidR="00000000" w:rsidRPr="00000000">
        <w:rPr>
          <w:rtl w:val="0"/>
        </w:rPr>
        <w:t xml:space="preserve">Agendas, presentations and supporting documents were posted on the City’s website prior to each meeting.</w:t>
      </w:r>
    </w:p>
    <w:p w:rsidR="00000000" w:rsidDel="00000000" w:rsidP="00000000" w:rsidRDefault="00000000" w:rsidRPr="00000000" w14:paraId="00000022">
      <w:pPr>
        <w:numPr>
          <w:ilvl w:val="0"/>
          <w:numId w:val="3"/>
        </w:numPr>
        <w:ind w:left="720" w:hanging="360"/>
        <w:jc w:val="both"/>
      </w:pPr>
      <w:r w:rsidDel="00000000" w:rsidR="00000000" w:rsidRPr="00000000">
        <w:rPr>
          <w:rtl w:val="0"/>
        </w:rPr>
        <w:t xml:space="preserve">Meeting recordings were posted promptly after each session</w:t>
      </w:r>
    </w:p>
    <w:p w:rsidR="00000000" w:rsidDel="00000000" w:rsidP="00000000" w:rsidRDefault="00000000" w:rsidRPr="00000000" w14:paraId="00000023">
      <w:pPr>
        <w:numPr>
          <w:ilvl w:val="0"/>
          <w:numId w:val="3"/>
        </w:numPr>
        <w:ind w:left="720" w:hanging="360"/>
        <w:jc w:val="both"/>
      </w:pPr>
      <w:r w:rsidDel="00000000" w:rsidR="00000000" w:rsidRPr="00000000">
        <w:rPr>
          <w:rtl w:val="0"/>
        </w:rPr>
        <w:t xml:space="preserve">Written public comments were accepted</w:t>
        <w:br w:type="textWrapping"/>
      </w:r>
    </w:p>
    <w:p w:rsidR="00000000" w:rsidDel="00000000" w:rsidP="00000000" w:rsidRDefault="00000000" w:rsidRPr="00000000" w14:paraId="00000024">
      <w:pPr>
        <w:jc w:val="both"/>
        <w:rPr>
          <w:i w:val="1"/>
          <w:iCs w:val="1"/>
        </w:rPr>
      </w:pPr>
      <w:r w:rsidDel="00000000" w:rsidR="00000000" w:rsidRPr="00000000">
        <w:rPr>
          <w:i w:val="1"/>
          <w:iCs w:val="1"/>
          <w:rtl w:val="0"/>
        </w:rPr>
        <w:t xml:space="preserve">Recording and Posting</w:t>
      </w:r>
    </w:p>
    <w:p w:rsidR="00000000" w:rsidDel="00000000" w:rsidP="00000000" w:rsidRDefault="00000000" w:rsidRPr="00000000" w14:paraId="00000025">
      <w:pPr>
        <w:jc w:val="both"/>
        <w:rPr/>
      </w:pPr>
      <w:r w:rsidDel="00000000" w:rsidR="00000000" w:rsidRPr="00000000">
        <w:rPr>
          <w:rtl w:val="0"/>
        </w:rPr>
        <w:t xml:space="preserve">Video recordings, slide decks, and meeting minutes for each session were publicly posted on the City’s SDG&amp;E Franchise webpage.</w:t>
      </w:r>
    </w:p>
    <w:p w:rsidR="00000000" w:rsidDel="00000000" w:rsidP="00000000" w:rsidRDefault="00000000" w:rsidRPr="00000000" w14:paraId="00000026">
      <w:pPr>
        <w:jc w:val="both"/>
        <w:rPr/>
      </w:pPr>
      <w:r w:rsidDel="00000000" w:rsidR="00000000" w:rsidRPr="00000000">
        <w:rPr>
          <w:rtl w:val="0"/>
        </w:rPr>
      </w:r>
    </w:p>
    <w:p w:rsidR="00000000" w:rsidDel="00000000" w:rsidP="00000000" w:rsidRDefault="00000000" w:rsidRPr="00000000" w14:paraId="00000027">
      <w:pPr>
        <w:jc w:val="both"/>
        <w:rPr>
          <w:b w:val="1"/>
          <w:bCs w:val="1"/>
        </w:rPr>
      </w:pPr>
      <w:r w:rsidDel="00000000" w:rsidR="00000000" w:rsidRPr="00000000">
        <w:rPr>
          <w:b w:val="1"/>
          <w:bCs w:val="1"/>
          <w:rtl w:val="0"/>
        </w:rPr>
        <w:t xml:space="preserve">Information-Gathering Activities</w:t>
      </w:r>
    </w:p>
    <w:p w:rsidR="00000000" w:rsidDel="00000000" w:rsidP="00000000" w:rsidRDefault="00000000" w:rsidRPr="00000000" w14:paraId="00000028">
      <w:pPr>
        <w:jc w:val="both"/>
        <w:rPr>
          <w:b w:val="1"/>
          <w:bCs w:val="1"/>
        </w:rPr>
      </w:pPr>
      <w:r w:rsidDel="00000000" w:rsidR="00000000" w:rsidRPr="00000000">
        <w:rPr>
          <w:rtl w:val="0"/>
        </w:rPr>
      </w:r>
    </w:p>
    <w:p w:rsidR="00000000" w:rsidDel="00000000" w:rsidP="00000000" w:rsidRDefault="00000000" w:rsidRPr="00000000" w14:paraId="00000029">
      <w:pPr>
        <w:jc w:val="both"/>
        <w:rPr/>
      </w:pPr>
      <w:r w:rsidDel="00000000" w:rsidR="00000000" w:rsidRPr="00000000">
        <w:rPr>
          <w:rtl w:val="0"/>
        </w:rPr>
        <w:t xml:space="preserve">Throughout the review period the Committee conducted extensive information gathering to evaluate SDG&amp;E’s compliance with the Administrative MOU, the Utility Undergrounding Program MOU and the Energy Cooperation Agreement. The Committee reviewed the following categories of information:</w:t>
      </w:r>
    </w:p>
    <w:p w:rsidR="00000000" w:rsidDel="00000000" w:rsidP="00000000" w:rsidRDefault="00000000" w:rsidRPr="00000000" w14:paraId="0000002A">
      <w:pPr>
        <w:jc w:val="both"/>
        <w:rPr/>
      </w:pPr>
      <w:r w:rsidDel="00000000" w:rsidR="00000000" w:rsidRPr="00000000">
        <w:rPr>
          <w:rtl w:val="0"/>
        </w:rPr>
      </w:r>
    </w:p>
    <w:p w:rsidR="00000000" w:rsidDel="00000000" w:rsidP="00000000" w:rsidRDefault="00000000" w:rsidRPr="00000000" w14:paraId="0000002B">
      <w:pPr>
        <w:jc w:val="both"/>
        <w:rPr>
          <w:i w:val="1"/>
          <w:iCs w:val="1"/>
        </w:rPr>
      </w:pPr>
      <w:r w:rsidDel="00000000" w:rsidR="00000000" w:rsidRPr="00000000">
        <w:rPr>
          <w:i w:val="1"/>
          <w:iCs w:val="1"/>
          <w:rtl w:val="0"/>
        </w:rPr>
        <w:t xml:space="preserve">Documents Reviewed</w:t>
      </w:r>
    </w:p>
    <w:p w:rsidR="00000000" w:rsidDel="00000000" w:rsidP="00000000" w:rsidRDefault="00000000" w:rsidRPr="00000000" w14:paraId="0000002C">
      <w:pPr>
        <w:jc w:val="both"/>
        <w:rPr/>
      </w:pPr>
      <w:r w:rsidDel="00000000" w:rsidR="00000000" w:rsidRPr="00000000">
        <w:rPr>
          <w:rtl w:val="0"/>
        </w:rPr>
        <w:t xml:space="preserve">A consistent set of materials were reviewed at or prior to each meeting, including:</w:t>
      </w:r>
    </w:p>
    <w:p w:rsidR="00000000" w:rsidDel="00000000" w:rsidP="00000000" w:rsidRDefault="00000000" w:rsidRPr="00000000" w14:paraId="0000002D">
      <w:pPr>
        <w:jc w:val="both"/>
        <w:rPr/>
      </w:pPr>
      <w:r w:rsidDel="00000000" w:rsidR="00000000" w:rsidRPr="00000000">
        <w:rPr>
          <w:rtl w:val="0"/>
        </w:rPr>
      </w:r>
    </w:p>
    <w:p w:rsidR="00000000" w:rsidDel="00000000" w:rsidP="00000000" w:rsidRDefault="00000000" w:rsidRPr="00000000" w14:paraId="0000002E">
      <w:pPr>
        <w:numPr>
          <w:ilvl w:val="0"/>
          <w:numId w:val="1"/>
        </w:numPr>
        <w:ind w:left="720" w:hanging="360"/>
        <w:jc w:val="both"/>
      </w:pPr>
      <w:r w:rsidDel="00000000" w:rsidR="00000000" w:rsidRPr="00000000">
        <w:rPr>
          <w:rtl w:val="0"/>
        </w:rPr>
        <w:t xml:space="preserve">SDG&amp;E franchise agreement text (Gas and Electric)</w:t>
      </w:r>
    </w:p>
    <w:p w:rsidR="00000000" w:rsidDel="00000000" w:rsidP="00000000" w:rsidRDefault="00000000" w:rsidRPr="00000000" w14:paraId="0000002F">
      <w:pPr>
        <w:jc w:val="both"/>
        <w:rPr/>
      </w:pPr>
      <w:r w:rsidDel="00000000" w:rsidR="00000000" w:rsidRPr="00000000">
        <w:rPr>
          <w:rtl w:val="0"/>
        </w:rPr>
      </w:r>
    </w:p>
    <w:p w:rsidR="00000000" w:rsidDel="00000000" w:rsidP="00000000" w:rsidRDefault="00000000" w:rsidRPr="00000000" w14:paraId="00000030">
      <w:pPr>
        <w:numPr>
          <w:ilvl w:val="0"/>
          <w:numId w:val="1"/>
        </w:numPr>
        <w:ind w:left="720" w:hanging="360"/>
        <w:jc w:val="both"/>
      </w:pPr>
      <w:r w:rsidDel="00000000" w:rsidR="00000000" w:rsidRPr="00000000">
        <w:rPr>
          <w:rtl w:val="0"/>
        </w:rPr>
        <w:t xml:space="preserve">Administrative MOU</w:t>
      </w:r>
    </w:p>
    <w:p w:rsidR="00000000" w:rsidDel="00000000" w:rsidP="00000000" w:rsidRDefault="00000000" w:rsidRPr="00000000" w14:paraId="00000031">
      <w:pPr>
        <w:jc w:val="both"/>
        <w:rPr/>
      </w:pPr>
      <w:r w:rsidDel="00000000" w:rsidR="00000000" w:rsidRPr="00000000">
        <w:rPr>
          <w:rtl w:val="0"/>
        </w:rPr>
      </w:r>
    </w:p>
    <w:p w:rsidR="00000000" w:rsidDel="00000000" w:rsidP="00000000" w:rsidRDefault="00000000" w:rsidRPr="00000000" w14:paraId="00000032">
      <w:pPr>
        <w:numPr>
          <w:ilvl w:val="0"/>
          <w:numId w:val="1"/>
        </w:numPr>
        <w:ind w:left="720" w:hanging="360"/>
        <w:jc w:val="both"/>
      </w:pPr>
      <w:r w:rsidDel="00000000" w:rsidR="00000000" w:rsidRPr="00000000">
        <w:rPr>
          <w:rtl w:val="0"/>
        </w:rPr>
        <w:t xml:space="preserve">Utility Undergrounding Program MOU</w:t>
      </w:r>
    </w:p>
    <w:p w:rsidR="00000000" w:rsidDel="00000000" w:rsidP="00000000" w:rsidRDefault="00000000" w:rsidRPr="00000000" w14:paraId="00000033">
      <w:pPr>
        <w:jc w:val="both"/>
        <w:rPr/>
      </w:pPr>
      <w:r w:rsidDel="00000000" w:rsidR="00000000" w:rsidRPr="00000000">
        <w:rPr>
          <w:rtl w:val="0"/>
        </w:rPr>
      </w:r>
    </w:p>
    <w:p w:rsidR="00000000" w:rsidDel="00000000" w:rsidP="00000000" w:rsidRDefault="00000000" w:rsidRPr="00000000" w14:paraId="00000034">
      <w:pPr>
        <w:numPr>
          <w:ilvl w:val="0"/>
          <w:numId w:val="1"/>
        </w:numPr>
        <w:ind w:left="720" w:hanging="360"/>
        <w:jc w:val="both"/>
      </w:pPr>
      <w:r w:rsidDel="00000000" w:rsidR="00000000" w:rsidRPr="00000000">
        <w:rPr>
          <w:rtl w:val="0"/>
        </w:rPr>
        <w:t xml:space="preserve">Energy Cooperation Agreement</w:t>
      </w:r>
    </w:p>
    <w:p w:rsidR="00000000" w:rsidDel="00000000" w:rsidP="00000000" w:rsidRDefault="00000000" w:rsidRPr="00000000" w14:paraId="00000035">
      <w:pPr>
        <w:jc w:val="both"/>
        <w:rPr/>
      </w:pPr>
      <w:r w:rsidDel="00000000" w:rsidR="00000000" w:rsidRPr="00000000">
        <w:rPr>
          <w:rtl w:val="0"/>
        </w:rPr>
      </w:r>
    </w:p>
    <w:p w:rsidR="00000000" w:rsidDel="00000000" w:rsidP="00000000" w:rsidRDefault="00000000" w:rsidRPr="00000000" w14:paraId="00000036">
      <w:pPr>
        <w:numPr>
          <w:ilvl w:val="0"/>
          <w:numId w:val="1"/>
        </w:numPr>
        <w:ind w:left="720" w:hanging="360"/>
        <w:jc w:val="both"/>
      </w:pPr>
      <w:r w:rsidDel="00000000" w:rsidR="00000000" w:rsidRPr="00000000">
        <w:rPr>
          <w:rtl w:val="0"/>
        </w:rPr>
        <w:t xml:space="preserve">Independent Auditor’s final report and Management letter</w:t>
      </w:r>
    </w:p>
    <w:p w:rsidR="00000000" w:rsidDel="00000000" w:rsidP="00000000" w:rsidRDefault="00000000" w:rsidRPr="00000000" w14:paraId="00000037">
      <w:pPr>
        <w:jc w:val="both"/>
        <w:rPr/>
      </w:pPr>
      <w:r w:rsidDel="00000000" w:rsidR="00000000" w:rsidRPr="00000000">
        <w:rPr>
          <w:rtl w:val="0"/>
        </w:rPr>
      </w:r>
    </w:p>
    <w:p w:rsidR="00000000" w:rsidDel="00000000" w:rsidP="00000000" w:rsidRDefault="00000000" w:rsidRPr="00000000" w14:paraId="00000038">
      <w:pPr>
        <w:numPr>
          <w:ilvl w:val="0"/>
          <w:numId w:val="1"/>
        </w:numPr>
        <w:ind w:left="720" w:hanging="360"/>
        <w:jc w:val="both"/>
      </w:pPr>
      <w:r w:rsidDel="00000000" w:rsidR="00000000" w:rsidRPr="00000000">
        <w:rPr>
          <w:rtl w:val="0"/>
        </w:rPr>
        <w:t xml:space="preserve">SDG&amp;E program documentation and technical responses to committee questions</w:t>
      </w:r>
    </w:p>
    <w:p w:rsidR="00000000" w:rsidDel="00000000" w:rsidP="00000000" w:rsidRDefault="00000000" w:rsidRPr="00000000" w14:paraId="00000039">
      <w:pPr>
        <w:jc w:val="both"/>
        <w:rPr/>
      </w:pPr>
      <w:r w:rsidDel="00000000" w:rsidR="00000000" w:rsidRPr="00000000">
        <w:rPr>
          <w:rtl w:val="0"/>
        </w:rPr>
      </w:r>
    </w:p>
    <w:p w:rsidR="00000000" w:rsidDel="00000000" w:rsidP="00000000" w:rsidRDefault="00000000" w:rsidRPr="00000000" w14:paraId="0000003A">
      <w:pPr>
        <w:numPr>
          <w:ilvl w:val="0"/>
          <w:numId w:val="1"/>
        </w:numPr>
        <w:ind w:left="720" w:hanging="360"/>
        <w:jc w:val="both"/>
      </w:pPr>
      <w:r w:rsidDel="00000000" w:rsidR="00000000" w:rsidRPr="00000000">
        <w:rPr>
          <w:rtl w:val="0"/>
        </w:rPr>
        <w:t xml:space="preserve">City staff reports and memoranda related to permitting, inspections, undergrounding, street restoration and ECA implementation</w:t>
      </w:r>
    </w:p>
    <w:p w:rsidR="00000000" w:rsidDel="00000000" w:rsidP="00000000" w:rsidRDefault="00000000" w:rsidRPr="00000000" w14:paraId="0000003B">
      <w:pPr>
        <w:jc w:val="both"/>
        <w:rPr/>
      </w:pPr>
      <w:r w:rsidDel="00000000" w:rsidR="00000000" w:rsidRPr="00000000">
        <w:rPr>
          <w:rtl w:val="0"/>
        </w:rPr>
      </w:r>
    </w:p>
    <w:p w:rsidR="00000000" w:rsidDel="00000000" w:rsidP="00000000" w:rsidRDefault="00000000" w:rsidRPr="00000000" w14:paraId="0000003C">
      <w:pPr>
        <w:numPr>
          <w:ilvl w:val="0"/>
          <w:numId w:val="1"/>
        </w:numPr>
        <w:ind w:left="720" w:hanging="360"/>
        <w:jc w:val="both"/>
      </w:pPr>
      <w:r w:rsidDel="00000000" w:rsidR="00000000" w:rsidRPr="00000000">
        <w:rPr>
          <w:rtl w:val="0"/>
        </w:rPr>
        <w:t xml:space="preserve">SDCP materials and SDG&amp;E operational interactions</w:t>
      </w:r>
    </w:p>
    <w:p w:rsidR="00000000" w:rsidDel="00000000" w:rsidP="00000000" w:rsidRDefault="00000000" w:rsidRPr="00000000" w14:paraId="0000003D">
      <w:pPr>
        <w:jc w:val="both"/>
        <w:rPr/>
      </w:pPr>
      <w:r w:rsidDel="00000000" w:rsidR="00000000" w:rsidRPr="00000000">
        <w:rPr>
          <w:rtl w:val="0"/>
        </w:rPr>
      </w:r>
    </w:p>
    <w:p w:rsidR="00000000" w:rsidDel="00000000" w:rsidP="00000000" w:rsidRDefault="00000000" w:rsidRPr="00000000" w14:paraId="0000003E">
      <w:pPr>
        <w:numPr>
          <w:ilvl w:val="0"/>
          <w:numId w:val="1"/>
        </w:numPr>
        <w:ind w:left="720" w:hanging="360"/>
        <w:jc w:val="both"/>
      </w:pPr>
      <w:r w:rsidDel="00000000" w:rsidR="00000000" w:rsidRPr="00000000">
        <w:rPr>
          <w:rtl w:val="0"/>
        </w:rPr>
        <w:t xml:space="preserve">Public comments--written and oral.</w:t>
        <w:br w:type="textWrapping"/>
      </w:r>
    </w:p>
    <w:p w:rsidR="00000000" w:rsidDel="00000000" w:rsidP="00000000" w:rsidRDefault="00000000" w:rsidRPr="00000000" w14:paraId="0000003F">
      <w:pPr>
        <w:jc w:val="both"/>
        <w:rPr>
          <w:i w:val="1"/>
          <w:iCs w:val="1"/>
        </w:rPr>
      </w:pPr>
      <w:r w:rsidDel="00000000" w:rsidR="00000000" w:rsidRPr="00000000">
        <w:rPr>
          <w:i w:val="1"/>
          <w:iCs w:val="1"/>
          <w:rtl w:val="0"/>
        </w:rPr>
        <w:t xml:space="preserve">Presentations Received</w:t>
      </w:r>
    </w:p>
    <w:p w:rsidR="00000000" w:rsidDel="00000000" w:rsidP="00000000" w:rsidRDefault="00000000" w:rsidRPr="00000000" w14:paraId="00000040">
      <w:pPr>
        <w:jc w:val="both"/>
        <w:rPr/>
      </w:pPr>
      <w:r w:rsidDel="00000000" w:rsidR="00000000" w:rsidRPr="00000000">
        <w:rPr>
          <w:rtl w:val="0"/>
        </w:rPr>
        <w:t xml:space="preserve">The Committee received presentations from:</w:t>
      </w:r>
    </w:p>
    <w:p w:rsidR="00000000" w:rsidDel="00000000" w:rsidP="00000000" w:rsidRDefault="00000000" w:rsidRPr="00000000" w14:paraId="00000041">
      <w:pPr>
        <w:numPr>
          <w:ilvl w:val="0"/>
          <w:numId w:val="5"/>
        </w:numPr>
        <w:ind w:left="720" w:hanging="360"/>
        <w:jc w:val="both"/>
      </w:pPr>
      <w:r w:rsidDel="00000000" w:rsidR="00000000" w:rsidRPr="00000000">
        <w:rPr>
          <w:b w:val="1"/>
          <w:bCs w:val="1"/>
          <w:rtl w:val="0"/>
        </w:rPr>
        <w:t xml:space="preserve">SDG&amp;E Representatives</w:t>
      </w:r>
      <w:r w:rsidDel="00000000" w:rsidR="00000000" w:rsidRPr="00000000">
        <w:rPr>
          <w:rtl w:val="0"/>
        </w:rPr>
        <w:br w:type="textWrapping"/>
        <w:t xml:space="preserve">Covering undergrounding project processes, safety protocols, permitting coordination, design standards, franchise fee reporting, project timelines and follow-up responses to committee questions.</w:t>
        <w:br w:type="textWrapping"/>
      </w:r>
    </w:p>
    <w:p w:rsidR="00000000" w:rsidDel="00000000" w:rsidP="00000000" w:rsidRDefault="00000000" w:rsidRPr="00000000" w14:paraId="00000042">
      <w:pPr>
        <w:numPr>
          <w:ilvl w:val="0"/>
          <w:numId w:val="5"/>
        </w:numPr>
        <w:ind w:left="720" w:hanging="360"/>
        <w:jc w:val="both"/>
      </w:pPr>
      <w:r w:rsidDel="00000000" w:rsidR="00000000" w:rsidRPr="00000000">
        <w:rPr>
          <w:b w:val="1"/>
          <w:bCs w:val="1"/>
          <w:rtl w:val="0"/>
        </w:rPr>
        <w:t xml:space="preserve">City Staff</w:t>
      </w:r>
      <w:r w:rsidDel="00000000" w:rsidR="00000000" w:rsidRPr="00000000">
        <w:rPr>
          <w:rtl w:val="0"/>
        </w:rPr>
        <w:br w:type="textWrapping"/>
        <w:t xml:space="preserve">From General Services, Transportation, Engineering, the City Attorney’s Office, and other divisions overseeing franchise implementation.</w:t>
        <w:br w:type="textWrapping"/>
      </w:r>
    </w:p>
    <w:p w:rsidR="00000000" w:rsidDel="00000000" w:rsidP="00000000" w:rsidRDefault="00000000" w:rsidRPr="00000000" w14:paraId="00000043">
      <w:pPr>
        <w:numPr>
          <w:ilvl w:val="0"/>
          <w:numId w:val="5"/>
        </w:numPr>
        <w:ind w:left="720" w:hanging="360"/>
        <w:jc w:val="both"/>
      </w:pPr>
      <w:r w:rsidDel="00000000" w:rsidR="00000000" w:rsidRPr="00000000">
        <w:rPr>
          <w:b w:val="1"/>
          <w:bCs w:val="1"/>
          <w:rtl w:val="0"/>
        </w:rPr>
        <w:t xml:space="preserve">Independent Auditors </w:t>
      </w:r>
      <w:r w:rsidDel="00000000" w:rsidR="00000000" w:rsidRPr="00000000">
        <w:rPr>
          <w:rtl w:val="0"/>
        </w:rPr>
        <w:br w:type="textWrapping"/>
        <w:t xml:space="preserve">Presenting audit scope, methodology, interim observations, and final Phase 2 audit findings.</w:t>
        <w:br w:type="textWrapping"/>
      </w:r>
    </w:p>
    <w:p w:rsidR="00000000" w:rsidDel="00000000" w:rsidP="00000000" w:rsidRDefault="00000000" w:rsidRPr="00000000" w14:paraId="00000044">
      <w:pPr>
        <w:numPr>
          <w:ilvl w:val="0"/>
          <w:numId w:val="5"/>
        </w:numPr>
        <w:ind w:left="720" w:hanging="360"/>
        <w:jc w:val="both"/>
      </w:pPr>
      <w:r w:rsidDel="00000000" w:rsidR="00000000" w:rsidRPr="00000000">
        <w:rPr>
          <w:b w:val="1"/>
          <w:bCs w:val="1"/>
          <w:rtl w:val="0"/>
        </w:rPr>
        <w:t xml:space="preserve">San Diego Community Power </w:t>
      </w:r>
      <w:r w:rsidDel="00000000" w:rsidR="00000000" w:rsidRPr="00000000">
        <w:rPr>
          <w:rtl w:val="0"/>
        </w:rPr>
        <w:br w:type="textWrapping"/>
        <w:t xml:space="preserve">Presenting updates on CCA operations, coordination with SDG&amp;E, and impacts on franchise responsibilities.</w:t>
        <w:br w:type="textWrapping"/>
      </w:r>
    </w:p>
    <w:p w:rsidR="00000000" w:rsidDel="00000000" w:rsidP="00000000" w:rsidRDefault="00000000" w:rsidRPr="00000000" w14:paraId="00000045">
      <w:pPr>
        <w:numPr>
          <w:ilvl w:val="0"/>
          <w:numId w:val="5"/>
        </w:numPr>
        <w:ind w:left="720" w:hanging="360"/>
        <w:jc w:val="both"/>
      </w:pPr>
      <w:r w:rsidDel="00000000" w:rsidR="00000000" w:rsidRPr="00000000">
        <w:rPr>
          <w:b w:val="1"/>
          <w:bCs w:val="1"/>
          <w:rtl w:val="0"/>
        </w:rPr>
        <w:t xml:space="preserve">Other Stakeholders</w:t>
      </w:r>
      <w:r w:rsidDel="00000000" w:rsidR="00000000" w:rsidRPr="00000000">
        <w:rPr>
          <w:rtl w:val="0"/>
        </w:rPr>
        <w:br w:type="textWrapping"/>
        <w:t xml:space="preserve">When invited, subject-matter experts, neighborhood representatives, and advocacy organizations provided context on undergrounding impacts, right-of-way management, public safety, and energy equity.</w:t>
        <w:br w:type="textWrapping"/>
      </w:r>
    </w:p>
    <w:p w:rsidR="00000000" w:rsidDel="00000000" w:rsidP="00000000" w:rsidRDefault="00000000" w:rsidRPr="00000000" w14:paraId="00000046">
      <w:pPr>
        <w:jc w:val="both"/>
        <w:rPr>
          <w:i w:val="1"/>
          <w:iCs w:val="1"/>
        </w:rPr>
      </w:pPr>
      <w:r w:rsidDel="00000000" w:rsidR="00000000" w:rsidRPr="00000000">
        <w:rPr>
          <w:i w:val="1"/>
          <w:iCs w:val="1"/>
          <w:rtl w:val="0"/>
        </w:rPr>
        <w:t xml:space="preserve">Public Participation</w:t>
      </w:r>
    </w:p>
    <w:p w:rsidR="00000000" w:rsidDel="00000000" w:rsidP="00000000" w:rsidRDefault="00000000" w:rsidRPr="00000000" w14:paraId="00000047">
      <w:pPr>
        <w:jc w:val="both"/>
        <w:rPr/>
      </w:pPr>
      <w:r w:rsidDel="00000000" w:rsidR="00000000" w:rsidRPr="00000000">
        <w:rPr>
          <w:rtl w:val="0"/>
        </w:rPr>
        <w:t xml:space="preserve">Public comment was a consistent component of the Committee’s meetings. Members of the public submitted written comments and provided oral testimony at meetings on topics such as:</w:t>
      </w:r>
    </w:p>
    <w:p w:rsidR="00000000" w:rsidDel="00000000" w:rsidP="00000000" w:rsidRDefault="00000000" w:rsidRPr="00000000" w14:paraId="00000048">
      <w:pPr>
        <w:ind w:left="720" w:firstLine="0"/>
        <w:jc w:val="both"/>
        <w:rPr/>
      </w:pPr>
      <w:r w:rsidDel="00000000" w:rsidR="00000000" w:rsidRPr="00000000">
        <w:rPr>
          <w:rtl w:val="0"/>
        </w:rPr>
      </w:r>
    </w:p>
    <w:p w:rsidR="00000000" w:rsidDel="00000000" w:rsidP="00000000" w:rsidRDefault="00000000" w:rsidRPr="00000000" w14:paraId="00000049">
      <w:pPr>
        <w:numPr>
          <w:ilvl w:val="0"/>
          <w:numId w:val="6"/>
        </w:numPr>
        <w:ind w:left="720" w:hanging="360"/>
        <w:jc w:val="both"/>
      </w:pPr>
      <w:r w:rsidDel="00000000" w:rsidR="00000000" w:rsidRPr="00000000">
        <w:rPr>
          <w:rtl w:val="0"/>
        </w:rPr>
        <w:t xml:space="preserve">Energy equity and climate resilience</w:t>
      </w:r>
    </w:p>
    <w:p w:rsidR="00000000" w:rsidDel="00000000" w:rsidP="00000000" w:rsidRDefault="00000000" w:rsidRPr="00000000" w14:paraId="0000004A">
      <w:pPr>
        <w:ind w:left="720" w:firstLine="0"/>
        <w:jc w:val="both"/>
        <w:rPr/>
      </w:pPr>
      <w:r w:rsidDel="00000000" w:rsidR="00000000" w:rsidRPr="00000000">
        <w:rPr>
          <w:rtl w:val="0"/>
        </w:rPr>
      </w:r>
    </w:p>
    <w:p w:rsidR="00000000" w:rsidDel="00000000" w:rsidP="00000000" w:rsidRDefault="00000000" w:rsidRPr="00000000" w14:paraId="0000004B">
      <w:pPr>
        <w:numPr>
          <w:ilvl w:val="0"/>
          <w:numId w:val="6"/>
        </w:numPr>
        <w:ind w:left="720" w:hanging="360"/>
        <w:jc w:val="both"/>
      </w:pPr>
      <w:r w:rsidDel="00000000" w:rsidR="00000000" w:rsidRPr="00000000">
        <w:rPr>
          <w:rtl w:val="0"/>
        </w:rPr>
        <w:t xml:space="preserve">Concerns about the potential automatic renewal of the franchise</w:t>
        <w:br w:type="textWrapping"/>
      </w:r>
    </w:p>
    <w:p w:rsidR="00000000" w:rsidDel="00000000" w:rsidP="00000000" w:rsidRDefault="00000000" w:rsidRPr="00000000" w14:paraId="0000004C">
      <w:pPr>
        <w:jc w:val="both"/>
        <w:rPr/>
      </w:pPr>
      <w:r w:rsidDel="00000000" w:rsidR="00000000" w:rsidRPr="00000000">
        <w:rPr>
          <w:rtl w:val="0"/>
        </w:rPr>
        <w:t xml:space="preserve">Public comments are attached in appendix (???)The Committee considered public input when forming its final recommendations.</w:t>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fontTable" Target="fontTable.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theme" Target="theme/theme1.xml"/><Relationship Id="rId6" Type="http://schemas.openxmlformats.org/officeDocument/2006/relationships/customXml" Target="../customXml/item1.xml"/><Relationship Id="rId5" Type="http://schemas.openxmlformats.org/officeDocument/2006/relationships/styles" Target="styles.xml"/><Relationship Id="rId4"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2C91F6956D1DE42B9A584FBA0A817D7" ma:contentTypeVersion="13" ma:contentTypeDescription="Create a new document." ma:contentTypeScope="" ma:versionID="cebf795125e5908509d0cb8446be0411">
  <xsd:schema xmlns:xsd="http://www.w3.org/2001/XMLSchema" xmlns:xs="http://www.w3.org/2001/XMLSchema" xmlns:p="http://schemas.microsoft.com/office/2006/metadata/properties" xmlns:ns2="c412bc58-87e2-41d2-965d-0a5ad2dcafa3" xmlns:ns3="8a195a7f-19fb-4c0b-9575-aedff449e922" targetNamespace="http://schemas.microsoft.com/office/2006/metadata/properties" ma:root="true" ma:fieldsID="8b4d8d415c45ca3189639b6275bc3cf6" ns2:_="" ns3:_="">
    <xsd:import namespace="c412bc58-87e2-41d2-965d-0a5ad2dcafa3"/>
    <xsd:import namespace="8a195a7f-19fb-4c0b-9575-aedff449e92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lcf76f155ced4ddcb4097134ff3c332f" minOccurs="0"/>
                <xsd:element ref="ns3:TaxCatchAll" minOccurs="0"/>
                <xsd:element ref="ns2:MediaServiceDateTaken" minOccurs="0"/>
                <xsd:element ref="ns2:MediaServiceLocation" minOccurs="0"/>
                <xsd:element ref="ns2:MediaServiceOCR" minOccurs="0"/>
                <xsd:element ref="ns2:MediaServiceGenerationTime" minOccurs="0"/>
                <xsd:element ref="ns2:MediaServiceEventHashCode" minOccurs="0"/>
                <xsd:element ref="ns2:MediaServiceBillingMetadata"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412bc58-87e2-41d2-965d-0a5ad2dcafa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9d174f9a-d9c2-49e9-b05c-597e952d22bf"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Location" ma:index="15" nillable="true" ma:displayName="Location" ma:indexed="true" ma:internalName="MediaServiceLocatio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BillingMetadata" ma:index="19" nillable="true" ma:displayName="MediaServiceBillingMetadata" ma:hidden="true" ma:internalName="MediaServiceBillingMetadata" ma:readOnly="true">
      <xsd:simpleType>
        <xsd:restriction base="dms:Note"/>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a195a7f-19fb-4c0b-9575-aedff449e922"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0a9a9fea-bb84-4ee4-bb71-134bfbd98471}" ma:internalName="TaxCatchAll" ma:showField="CatchAllData" ma:web="8a195a7f-19fb-4c0b-9575-aedff449e92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8a195a7f-19fb-4c0b-9575-aedff449e922" xsi:nil="true"/>
    <lcf76f155ced4ddcb4097134ff3c332f xmlns="c412bc58-87e2-41d2-965d-0a5ad2dcafa3">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4C2128B5-5A09-4014-AF07-4CFF54DE9D27}"/>
</file>

<file path=customXml/itemProps2.xml><?xml version="1.0" encoding="utf-8"?>
<ds:datastoreItem xmlns:ds="http://schemas.openxmlformats.org/officeDocument/2006/customXml" ds:itemID="{C366E65F-1874-46BE-B24A-25026DE4C0E4}"/>
</file>

<file path=customXml/itemProps3.xml><?xml version="1.0" encoding="utf-8"?>
<ds:datastoreItem xmlns:ds="http://schemas.openxmlformats.org/officeDocument/2006/customXml" ds:itemID="{19A558B5-B83C-414D-9F71-B37053BDF954}"/>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0x01010052C91F6956D1DE42B9A584FBA0A817D7</vt:lpwstr>
  </property>
</Properties>
</file>